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89"/>
                <wp:lineTo x="20589" y="20589"/>
                <wp:lineTo x="20589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3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разграничении имущества, находящегося в муниципальной собственности, между муниципальным образованием «Пенжинский муниципальный район» и муниципальным образованием «сельское поселение «село Каменское» Пенжинского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color w:val="auto"/>
          <w:sz w:val="28"/>
          <w:szCs w:val="28"/>
        </w:rPr>
        <w:t>г</w:t>
      </w:r>
      <w:r>
        <w:rPr>
          <w:rFonts w:ascii="Times New Roman" w:hAnsi="Times New Roman"/>
          <w:color w:val="auto"/>
          <w:sz w:val="28"/>
          <w:szCs w:val="28"/>
        </w:rPr>
        <w:t xml:space="preserve">лавы Пенжинского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Каменское»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Каменское»</w:t>
      </w:r>
      <w:r>
        <w:rPr>
          <w:rFonts w:ascii="Times New Roman" w:hAnsi="Times New Roman"/>
          <w:color w:val="auto"/>
          <w:sz w:val="28"/>
          <w:szCs w:val="28"/>
        </w:rPr>
        <w:t xml:space="preserve"> 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Каменское»</w:t>
      </w:r>
      <w:r>
        <w:rPr>
          <w:rFonts w:ascii="Times New Roman" w:hAnsi="Times New Roman"/>
          <w:color w:val="auto"/>
          <w:sz w:val="28"/>
          <w:szCs w:val="28"/>
        </w:rPr>
        <w:t xml:space="preserve"> 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248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</w:pPr>
      <w:r>
        <w:br w:type="page"/>
      </w:r>
    </w:p>
    <w:tbl>
      <w:tblPr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5"/>
        <w:gridCol w:w="492"/>
        <w:gridCol w:w="1886"/>
        <w:gridCol w:w="487"/>
        <w:gridCol w:w="1666"/>
      </w:tblGrid>
      <w:tr>
        <w:trPr/>
        <w:tc>
          <w:tcPr>
            <w:tcW w:w="477" w:type="dxa"/>
            <w:tcBorders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92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8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 w:val="fals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Каменское»</w:t>
      </w:r>
      <w:r>
        <w:rPr>
          <w:rFonts w:ascii="Times New Roman" w:hAnsi="Times New Roman"/>
          <w:color w:val="auto"/>
          <w:sz w:val="28"/>
          <w:szCs w:val="28"/>
        </w:rPr>
        <w:t xml:space="preserve"> 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02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6"/>
        <w:gridCol w:w="1985"/>
        <w:gridCol w:w="2125"/>
        <w:gridCol w:w="2693"/>
        <w:gridCol w:w="2938"/>
        <w:gridCol w:w="3019"/>
        <w:gridCol w:w="1697"/>
      </w:tblGrid>
      <w:tr>
        <w:trPr>
          <w:tblHeader w:val="true"/>
          <w:trHeight w:val="182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Каменское,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ул. Беккерова, д. 32, кв. 12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82:04:000004:682,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161,1 кв.м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7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8" w:customStyle="1">
    <w:name w:val="Текст Знак"/>
    <w:basedOn w:val="1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2" w:customStyle="1">
    <w:name w:val="Текст выноски Знак"/>
    <w:basedOn w:val="1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1">
    <w:name w:val="index heading1"/>
    <w:basedOn w:val="Style13"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Indexheading11" w:customStyle="1">
    <w:name w:val="index heading11"/>
    <w:basedOn w:val="Normal"/>
    <w:qFormat/>
    <w:pPr>
      <w:suppressLineNumbers/>
    </w:pPr>
    <w:rPr>
      <w:rFonts w:cs="Arial Unicode MS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OC2">
    <w:name w:val="TOC 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1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8C-7F36-4821-B772-2582D84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LibreOffice/24.2.3.2$Windows_X86_64 LibreOffice_project/433d9c2ded56988e8a90e6b2e771ee4e6a5ab2ba</Application>
  <AppVersion>15.0000</AppVersion>
  <Pages>2</Pages>
  <Words>277</Words>
  <Characters>2096</Characters>
  <CharactersWithSpaces>2317</CharactersWithSpaces>
  <Paragraphs>57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2024-06-13T04:23:00Z</dcterms:created>
  <dc:creator>Борзило Татьяна Николаевна</dc:creator>
  <dc:description/>
  <dc:language>ru-RU</dc:language>
  <cp:lastModifiedBy/>
  <dcterms:modified xsi:type="dcterms:W3CDTF">2024-12-16T16:57:17Z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