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перечни объектов недвижимого имущества, в отношении которых налоговая база определяется как кадастровая стоимость на 2022 - 2024 годы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 </w:t>
      </w:r>
      <w:r>
        <w:rPr>
          <w:rFonts w:ascii="Times New Roman" w:hAnsi="Times New Roman" w:cs="Times New Roman"/>
          <w:sz w:val="28"/>
          <w:szCs w:val="28"/>
        </w:rPr>
        <w:t xml:space="preserve">Харитонова Сергея Владимировича от 04.06.2024 № 60/1435,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Харитоновой Галины Николаевны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26.06.2024 № 60/1635,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имущества от </w:t>
      </w:r>
      <w:r>
        <w:rPr>
          <w:rFonts w:ascii="Times New Roman" w:hAnsi="Times New Roman"/>
          <w:sz w:val="28"/>
          <w:highlight w:val="white"/>
        </w:rPr>
        <w:t xml:space="preserve">02.</w:t>
      </w:r>
      <w:r>
        <w:rPr>
          <w:rFonts w:ascii="Times New Roman" w:hAnsi="Times New Roman"/>
          <w:sz w:val="28"/>
          <w:highlight w:val="white"/>
        </w:rPr>
        <w:t xml:space="preserve">07.2024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sz w:val="28"/>
        </w:rPr>
        <w:t xml:space="preserve">599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06.08.2024 №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20.12.2021 № П-26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603 утратившим силу.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12.12.2022 № П-52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пункты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936, 939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утратившими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/>
          <w:sz w:val="28"/>
        </w:rPr>
        <w:t xml:space="preserve">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пункты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928, 93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утратившими силу.</w:t>
      </w:r>
      <w:r>
        <w:rPr>
          <w:rFonts w:ascii="Times New Roman" w:hAnsi="Times New Roman"/>
          <w:sz w:val="28"/>
          <w:shd w:val="clear" w:color="auto" w:fill="ffffff" w:themeFill="background1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20 декабря 2021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3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26</cp:revision>
  <dcterms:created xsi:type="dcterms:W3CDTF">2023-06-01T02:47:00Z</dcterms:created>
  <dcterms:modified xsi:type="dcterms:W3CDTF">2024-09-02T02:14:57Z</dcterms:modified>
</cp:coreProperties>
</file>