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МИНИСТЕРСТВО ИМУЩЕСТВЕННЫХ И ЗЕМЕЛЬНЫХ ОТНОШЕНИЙ КАМЧАТСКОГО КРАЯ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Style w:val="aa"/>
        <w:tblW w:w="8789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5"/>
        <w:gridCol w:w="4573"/>
      </w:tblGrid>
      <w:tr>
        <w:trPr/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 xml:space="preserve">DATEACTIVATED </w:t>
            </w:r>
            <w:r>
              <w:rPr>
                <w:kern w:val="0"/>
                <w:sz w:val="28"/>
                <w:szCs w:val="28"/>
                <w:u w:val="single"/>
                <w:lang w:val="ru-RU" w:eastAsia="en-US" w:bidi="ar-SA"/>
              </w:rPr>
              <w:t>г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.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1325"/>
              <w:jc w:val="right"/>
              <w:rPr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 xml:space="preserve">№ 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DOCNUMBER</w:t>
            </w:r>
          </w:p>
        </w:tc>
      </w:tr>
    </w:tbl>
    <w:p>
      <w:pPr>
        <w:pStyle w:val="Normal"/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pStyle w:val="Normal"/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Петропавловск-Камчатский 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>
        <w:rPr>
          <w:b/>
          <w:bCs/>
          <w:sz w:val="28"/>
          <w:szCs w:val="28"/>
          <w:lang w:eastAsia="ru-RU"/>
        </w:rPr>
        <w:t xml:space="preserve"> по предоставлению государственной услуги </w:t>
        <w:br/>
        <w:t>«</w:t>
      </w:r>
      <w:r>
        <w:rPr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b/>
          <w:bCs/>
          <w:sz w:val="28"/>
          <w:szCs w:val="28"/>
          <w:lang w:eastAsia="ru-RU"/>
        </w:rPr>
        <w:t>»</w:t>
      </w:r>
    </w:p>
    <w:p>
      <w:pPr>
        <w:pStyle w:val="Normal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соответствии с Федеральным законом от 21.12.2004 № 172-ФЗ «О переводе земель или земельных участков из одной категории в другую», постановлением Правительства Камчатского края от 17.01.2014 № 27-П «Об установлении содержания ходатайства о переводе земель сельскохозяйственного назначения или земельных участков в составе таких земель, за исключением земель, находящихся в собственности Российской Федерации, в другую категорию и состава прилагаемых к нему документов»: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2">
        <w:r>
          <w:rPr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Министерства имущественных и земельных отношений Камчатского края</w:t>
      </w:r>
      <w:r>
        <w:rPr>
          <w:sz w:val="28"/>
          <w:szCs w:val="28"/>
          <w:lang w:eastAsia="ru-RU"/>
        </w:rPr>
        <w:t xml:space="preserve"> по предоставлению государственной услуги «</w:t>
      </w:r>
      <w:r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sz w:val="28"/>
          <w:szCs w:val="28"/>
          <w:lang w:val="en-US" w:eastAsia="ru-RU"/>
        </w:rPr>
        <w:t>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утратившими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имущественных и земельных отношений Камчатского края от 07.09.2012 № 121 «Об утверждении Административного регламента предоставления Министерством имущественных и земельных отношений Камчатского края государственной услуги по рассмотрению ходатайств о переводе земель или земельных участков в составе таких земель из одной категории в другую»;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имущественных и земельных отношений Камчатского края от 16.10.2012 № 168 «О внесении изменений в приложение к приказу Министерства имущественных и земельных отношений Камчатского края от 07.09.2012 № 121 «Об утверждении административного регламента предоставления Министерством имущественных и земельных отношений Камчатского края государственной услуги по рассмотрению ходатайств о переводе земель или земельных участков в составе таких земель из одной категории в другую»;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имущественных и земельных отношений Камчатского края от 13.01.2014 № 8 «О внесении изменений в приложение к приказу Министерства имущественных и земельных отношений Камчатского края от 07.09.2012 № 121 «Об утверждении административного регламента предоставления Министерством имущественных и земельных отношений Камчатского края государственной услуги по рассмотрению ходатайств о переводе земель или земельных участков в составе таких земель из одной категории в другую»;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 Министерства имущественных и земельных отношений Камчатского края от 02.06.2015 № 97 «О внесении изменений в приложение к приказу Министерства имущественных и земельных отношений Камчатского края от 07.09.2012 № 121 «Об утверждении административного регламента предоставления Министерством имущественных и земельных отношений Камчатского края государственной услуги по рассмотрению ходатайств о переводе земель или земельных участков в составе таких земель из одной категории в другую».</w:t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tbl>
      <w:tblPr>
        <w:tblStyle w:val="a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826"/>
        <w:gridCol w:w="3261"/>
      </w:tblGrid>
      <w:tr>
        <w:trPr/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Министр имущественных и земельных отношений Камчатского края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center"/>
              <w:rPr>
                <w:sz w:val="28"/>
                <w:szCs w:val="28"/>
              </w:rPr>
            </w:pPr>
            <w:r>
              <w:rPr>
                <w:kern w:val="0"/>
                <w:lang w:val="ru-RU" w:eastAsia="en-US" w:bidi="ar-SA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Мищенко Иван Вячеславович</w:t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spacing w:before="240" w:after="0"/>
        <w:ind w:left="6237"/>
        <w:rPr>
          <w:lang w:val="en-US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приказом</w:t>
      </w:r>
      <w:r>
        <w:rPr>
          <w:sz w:val="28"/>
          <w:szCs w:val="28"/>
          <w:lang w:val="en-US"/>
        </w:rPr>
        <w:t xml:space="preserve"> Минимущества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</w:t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>
        <w:rPr>
          <w:b/>
          <w:bCs/>
          <w:sz w:val="28"/>
          <w:szCs w:val="28"/>
          <w:lang w:eastAsia="ru-RU"/>
        </w:rPr>
        <w:br/>
        <w:t>по предоставлению государственной услуги «</w:t>
      </w:r>
      <w:r>
        <w:rPr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b/>
          <w:bCs/>
          <w:sz w:val="28"/>
          <w:szCs w:val="28"/>
          <w:lang w:eastAsia="ru-RU"/>
        </w:rPr>
        <w:t>»</w:t>
      </w:r>
    </w:p>
    <w:p>
      <w:pPr>
        <w:pStyle w:val="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>I</w:t>
      </w:r>
      <w:r>
        <w:rPr>
          <w:rFonts w:eastAsia="Yu Gothic Light"/>
          <w:b/>
          <w:bCs/>
          <w:sz w:val="28"/>
          <w:szCs w:val="28"/>
        </w:rPr>
        <w:t>. Общие положения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sz w:val="28"/>
          <w:szCs w:val="28"/>
          <w:lang w:eastAsia="ru-RU"/>
        </w:rPr>
        <w:t>» (далее – Услуга).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физическим лицам, индивидуальным предпринимателям, юридическим лицам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путем профилирования</w:t>
      </w:r>
      <w:r>
        <w:rPr>
          <w:rStyle w:val="FootnoteReferenc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  <w:szCs w:val="28"/>
          <w:lang w:eastAsia="ru-RU"/>
        </w:rPr>
        <w:t xml:space="preserve"> – Региональный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имущественных и земельных отношений Камчатского края </w:t>
      </w:r>
      <w:r>
        <w:rPr>
          <w:sz w:val="28"/>
          <w:szCs w:val="28"/>
          <w:lang w:val="en-US" w:eastAsia="ru-RU"/>
        </w:rPr>
        <w:t>(</w:t>
      </w:r>
      <w:r>
        <w:rPr>
          <w:sz w:val="28"/>
          <w:szCs w:val="28"/>
          <w:lang w:eastAsia="ru-RU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Орган власти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>переводом земель или земельных участков в составе таких земель из одной категории в другую</w:t>
      </w:r>
      <w:r>
        <w:rPr>
          <w:sz w:val="28"/>
          <w:szCs w:val="28"/>
        </w:rPr>
        <w:t xml:space="preserve"> результатами предоставления Услуги являются: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письмо о возврате документов заявителю (письмо на бланке Органа власти).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>распоряжение Правительства Камчатского края.</w:t>
      </w:r>
      <w:r>
        <w:rPr>
          <w:sz w:val="28"/>
          <w:szCs w:val="28"/>
          <w:lang w:eastAsia="ru-RU"/>
        </w:rPr>
        <w:t xml:space="preserve">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>
        <w:rPr>
          <w:sz w:val="28"/>
          <w:szCs w:val="28"/>
        </w:rPr>
        <w:t xml:space="preserve"> результатами предоставления Услуги являются: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письмо о возврате документов заявителю (письмо на бланке Органа власти).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>распоряжение Правительства Камчатского края.</w:t>
      </w:r>
      <w:r>
        <w:rPr>
          <w:sz w:val="28"/>
          <w:szCs w:val="28"/>
          <w:lang w:eastAsia="ru-RU"/>
        </w:rPr>
        <w:t xml:space="preserve"> В состав реквизитов документа входят </w:t>
      </w:r>
      <w:r>
        <w:rPr>
          <w:sz w:val="28"/>
          <w:szCs w:val="28"/>
        </w:rPr>
        <w:t xml:space="preserve">номер и дата распоряжения, наименование органа, выдавшего документ, содержание решения.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посредством Единого портала, в Органе власти, путем направления на адрес электронной почты заявителя, посредством почтового отправления.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Услуги составляет 60 календарных 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ходатайства </w:t>
      </w:r>
      <w:r>
        <w:rPr>
          <w:sz w:val="28"/>
          <w:szCs w:val="28"/>
        </w:rPr>
        <w:t>о переводе земель или земельных участков в составе таких земель из одной категории в другую (далее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>ходатайство)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  <w:szCs w:val="28"/>
          <w:lang w:val="en-US"/>
        </w:rPr>
        <w:t>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>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удостоверяющие личность представителя заявителя</w:t>
      </w:r>
      <w:r>
        <w:rPr>
          <w:sz w:val="28"/>
          <w:szCs w:val="28"/>
          <w:lang w:val="en-US"/>
        </w:rPr>
        <w:t>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подтверждающие проведение государственной экологической экспертизы</w:t>
      </w:r>
      <w:r>
        <w:rPr>
          <w:sz w:val="28"/>
          <w:szCs w:val="28"/>
          <w:lang w:val="en-US"/>
        </w:rPr>
        <w:t>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предусмотренных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настоящем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подразделе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посредством почтового отправления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</w:rPr>
        <w:t>ходатайства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ходатайства и документов при наличии </w:t>
      </w:r>
      <w:r>
        <w:rPr>
          <w:sz w:val="28"/>
          <w:szCs w:val="28"/>
          <w:lang w:eastAsia="ru-RU"/>
        </w:rPr>
        <w:t>следующих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оснований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представленные документы утратили силу на момент обращения за услугой;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предоставление неполного комплекта документов, необходимого для представления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факт допущения ошибки и (или) опечатки не подтвержден.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</w:rPr>
        <w:t>ходатайства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  <w:t>ходатайства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  <w:r>
        <w:rPr>
          <w:sz w:val="28"/>
          <w:szCs w:val="28"/>
          <w:lang w:val="en-US"/>
        </w:rPr>
        <w:t xml:space="preserve">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зал (места) ожидания, места для заполнения заявлений о предоставлении Услуги оборудованы стульями (кресельными секциями, скамьями, банкетками), столами (стойками) для оформления документов с размещением на них форм (бланков) документов, необходимых для получения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на территории, прилегающей к зданию Органа власти,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 местах ожидания предусмотрена возможность размещения мест для инвалидов, а также мест для лиц, их сопровождающих;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помещения оборудованы противопожарной системой и системой пожаротушения.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полнота и доступность информации о местах, порядке и сроках предоставления Услуги;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возможность подачи заявления и документов к нему в электронной форме посредством Единого портала;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власти;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количество взаимодействий заявителя с должностными лицами Органа власти.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нарушений установленных сроков в процессе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минимально возможное количество взаимодействий заявителя с должностными лицами Органа власти;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Услуги в соответствии с вариантами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FootnoteReference"/>
          <w:sz w:val="28"/>
          <w:szCs w:val="28"/>
          <w:lang w:eastAsia="ru-RU"/>
        </w:rPr>
        <w:footnoteReference w:id="4"/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переводом земель или земельных участков в составе таких земель из одной категории в другую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4: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5: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6: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7: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8: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9: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10: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11: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12: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результате предоставления Услуги,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13: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14: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15: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16: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17: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18: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19: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20: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21: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22: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23: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сельскохозяйственного назначения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24: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Земли иных категорий или земельные участки в составе таких земель</w:t>
      </w:r>
      <w:r>
        <w:rPr>
          <w:sz w:val="28"/>
          <w:szCs w:val="28"/>
        </w:rPr>
        <w:t xml:space="preserve">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ходатайства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власти;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на Едином портале.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утратили силу на момент обращения за услугой;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предоставление неполного комплекта документов, необходимого для представления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проверка представленных заявителем документов и сведений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утратили силу на момент обращения за услугой;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предоставление неполного комплекта документов, необходимого для представления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проверка представленных заявителем документов и сведений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утратили силу на момент обращения за услугой;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предоставление неполного комплекта документов, необходимого для представления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проверка представленных заявителем документов и сведений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утратили силу на момент обращения за услугой;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предоставление неполного комплекта документов, необходимого для представления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проверка представленных заявителем документов и сведений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юридического лица,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предоставление неполного комплекта документов, необходимого для представления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юридического лица,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предоставление неполного комплекта документов, необходимого для представления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другую, – проект рекультивации земель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юридического лица,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предоставление неполного комплекта документов, необходимого для представления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41 </w:t>
      </w:r>
      <w:r>
        <w:rPr>
          <w:sz w:val="28"/>
          <w:szCs w:val="28"/>
          <w:lang w:eastAsia="ru-RU"/>
        </w:rPr>
        <w:t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другую, – согласие правообладателя земельного участка на перевод земельного участка в другую категорию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юридического лица,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проведение государственной экологической экспертизы, – заключение государственной экологической экспертизы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ходатайство о предоставлении Услуги подано в Орган власти, в полномочия которого не входит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предоставление неполного комплекта документов, необходимого для представления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ходатайством обратилось ненадлежащее лицо.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межведомственный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Сведения о проведении и результатах государственной экологической экспертизы</w:t>
      </w:r>
      <w:r>
        <w:rPr>
          <w:sz w:val="28"/>
          <w:szCs w:val="28"/>
          <w:lang w:val="en-US" w:eastAsia="ru-RU"/>
        </w:rPr>
        <w:t>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Росприроднадзор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отсутствие необходимых для принятия решения сведений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2 рабочих дней с даты</w:t>
      </w:r>
      <w:r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Росприроднадзор представляет запрашиваемые сведения в срок, не превышающий 2 рабочих дней с 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37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посредством Единого портала, в Органе власти,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проверка представленных заявителем документов и сведений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проверка представленных заявителем документов и сведений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проверка представленных заявителем документов и сведений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проверка представленных заявителем документов и сведений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юридического лица,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юридического лица,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юридического лица,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 (документ на бумажном носителе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письмо о возврате документов заявителю (письмо на бланке Органа власти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распоряжение Правительства Камчатского края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номер и дата распоряжения, наименование органа, выдавшего документ, содержание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факт допущения ошибки и (или) опечатки не подтвержден.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ходатайства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представителя заявителя, – 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ЕСИА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юридического лица,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ходатайства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бумажный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бумажный документ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ходатайства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Единого государственного реестра недвижимости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 и сведений по собственной инициативе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 представляет запрашиваемые сведения в срок, не превышающий 24 часов 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межведомственный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обращение заявителя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рабочего дня с даты </w:t>
      </w:r>
      <w:r>
        <w:rPr>
          <w:sz w:val="28"/>
          <w:szCs w:val="28"/>
          <w:lang w:eastAsia="ru-RU"/>
        </w:rPr>
        <w:t>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24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подтвержден факт допущенной ошибки и (или) опечатки.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распоряжение Правительства Камчатского края о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переводе земель или земельных участков в составе таких земель из одной категории в другую;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путем направления на адрес электронной почты заявителя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письмо о возврате документов заявителю.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почтового отправления,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eastAsia="ru-RU"/>
        </w:rPr>
        <w:t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обращений граждан и юридических лиц на нарушения законодательства, в том числе на качество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Органе власти, в устной форме по телефону, в письменной форме на основании письменного обращения (почтой, электронной почтой, факсимильной связью), размещение информации на Едином портале, на официальном сайте Органа власти в сети «Интернет», на Региональном портале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федеральной государственной информационной системы досудебного обжалования http://do.gosuslugi.ru, на официальном сайте Органа власти в сети «Интернет».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почтовым отправлением.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Spacing"/>
        <w:ind w:left="6237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Минимущества Камчатского края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DOCNUMBER</w:t>
      </w:r>
    </w:p>
    <w:p>
      <w:pPr>
        <w:pStyle w:val="Normal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before="0"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Перевод земель или земельных участков в составе таких земель из одной категории в другую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976"/>
        <w:gridCol w:w="5955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Индивидуальный предприниматель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Обратился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Обращается через представителя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Действующая категория земель или земельных участков в составе таких земель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Земли сельскохозяйственного назначения или земельные участки в составе таких земель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Земли иных категорий или земельные участки в составе таких земель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Наличие иных правообладателей земельного участка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Имеются правообладатели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Отсутствуют правообладатели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Индивидуальный предприниматель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Обратился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Обращается через представителя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Действующая категория земель или земельных участков в составе таких земель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Земли сельскохозяйственного назначения или земельные участки в составе таких земель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Земли иных категорий или земельные участки в составе таких земель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Наличие иных правообладателей земельного участка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Имеются правообладатели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Отсутствуют правообладатели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2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 Минимущества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DOCNUMBER</w:t>
      </w:r>
    </w:p>
    <w:p>
      <w:pPr>
        <w:pStyle w:val="Normal"/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tbl>
      <w:tblPr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62"/>
      </w:tblGrid>
      <w:tr>
        <w:trPr>
          <w:trHeight w:val="339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339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Наличие иных правообладателей земельного участка</w:t>
            </w:r>
          </w:p>
        </w:tc>
      </w:tr>
      <w:tr>
        <w:trPr>
          <w:trHeight w:val="841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Имеются правообладатели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lineRule="exact" w:line="240"/>
              <w:jc w:val="both"/>
              <w:rPr>
                <w:lang w:val="en-US"/>
              </w:rPr>
            </w:pPr>
            <w:r>
              <w:rPr>
                <w:b/>
              </w:rPr>
              <w:t>Документ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ы</w:t>
            </w:r>
            <w:r>
              <w:rPr>
                <w:b/>
                <w:lang w:val="en-US"/>
              </w:rPr>
              <w:t xml:space="preserve">), </w:t>
            </w:r>
            <w:r>
              <w:rPr>
                <w:b/>
              </w:rPr>
              <w:t>представляемые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zCs w:val="20"/>
                <w:lang w:val="en-US"/>
              </w:rPr>
              <w:t>ходатайства</w:t>
            </w:r>
            <w:r>
              <w:rPr>
                <w:b/>
                <w:szCs w:val="20"/>
              </w:rPr>
              <w:t xml:space="preserve"> и документов</w:t>
            </w:r>
            <w:r>
              <w:rPr>
                <w:b/>
              </w:rPr>
              <w:t>: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27" w:leader="none"/>
              </w:tabs>
              <w:spacing w:lineRule="exact" w:line="240"/>
              <w:ind w:firstLine="176"/>
              <w:jc w:val="both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документы для перевода земель или земельных участков в составе таких земель из одной категории в другую: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3" w:leader="none"/>
              </w:tabs>
              <w:spacing w:lineRule="exact" w:line="240"/>
              <w:ind w:firstLine="318"/>
              <w:jc w:val="both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согласие правообладателя земельного участка на перевод земельного участка в другую категорию.</w:t>
            </w:r>
            <w:r>
              <w:rPr>
                <w:szCs w:val="20"/>
              </w:rPr>
              <w:t xml:space="preserve"> </w:t>
            </w:r>
          </w:p>
          <w:p>
            <w:pPr>
              <w:pStyle w:val="Normal"/>
              <w:keepNext w:val="true"/>
              <w:spacing w:lineRule="exact" w:line="240"/>
              <w:jc w:val="both"/>
              <w:rPr>
                <w:lang w:val="en-US"/>
              </w:rPr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rPr>
                <w:szCs w:val="20"/>
              </w:rPr>
              <w:t xml:space="preserve"> документы не предусмотрены.</w:t>
            </w:r>
            <w:r>
              <w:rPr>
                <w:szCs w:val="20"/>
                <w:lang w:val="en-US"/>
              </w:rPr>
              <w:t xml:space="preserve"> </w:t>
            </w:r>
          </w:p>
          <w:p>
            <w:pPr>
              <w:pStyle w:val="Normal"/>
              <w:keepNext w:val="true"/>
              <w:spacing w:lineRule="exact" w:line="240"/>
              <w:jc w:val="both"/>
              <w:rPr>
                <w:szCs w:val="20"/>
                <w:lang w:val="en-US"/>
              </w:rPr>
            </w:pPr>
            <w:r>
              <w:rPr>
                <w:b/>
              </w:rPr>
              <w:t>Сведения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представляемые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zCs w:val="20"/>
                <w:lang w:val="en-US"/>
              </w:rPr>
              <w:t>ходатайства</w:t>
            </w:r>
            <w:r>
              <w:rPr>
                <w:b/>
                <w:lang w:val="en-US"/>
              </w:rPr>
              <w:t>: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>сведения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>не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>предусмотрены</w:t>
            </w:r>
            <w:r>
              <w:rPr>
                <w:szCs w:val="20"/>
                <w:lang w:val="en-US"/>
              </w:rPr>
              <w:t>.</w:t>
            </w:r>
          </w:p>
          <w:p>
            <w:pPr>
              <w:pStyle w:val="Normal"/>
              <w:keepNext w:val="true"/>
              <w:spacing w:lineRule="exact" w:line="240"/>
              <w:jc w:val="both"/>
              <w:rPr>
                <w:szCs w:val="20"/>
                <w:lang w:val="en-US"/>
              </w:rPr>
            </w:pPr>
            <w:r>
              <w:rPr>
                <w:b/>
              </w:rPr>
              <w:t>Межведомственные запросы:</w:t>
            </w:r>
            <w:r>
              <w:rPr>
                <w:szCs w:val="20"/>
              </w:rPr>
              <w:t xml:space="preserve"> межведомственные запросы не предусмотрены.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5" w:leader="none"/>
                <w:tab w:val="left" w:pos="252" w:leader="none"/>
              </w:tabs>
              <w:spacing w:lineRule="exact" w:line="240"/>
              <w:jc w:val="both"/>
              <w:rPr>
                <w:szCs w:val="20"/>
                <w:lang w:val="en-US"/>
              </w:rPr>
            </w:pPr>
            <w:r>
              <w:rPr>
                <w:b/>
              </w:rPr>
              <w:t xml:space="preserve">Основание(я) отказа в предоставлении Услуги: </w:t>
            </w:r>
            <w:r>
              <w:rPr/>
              <w:t>основания не предусмотрены.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5" w:leader="none"/>
                <w:tab w:val="left" w:pos="252" w:leader="none"/>
              </w:tabs>
              <w:spacing w:lineRule="exact" w:line="240"/>
              <w:jc w:val="both"/>
              <w:rPr>
                <w:szCs w:val="20"/>
              </w:rPr>
            </w:pPr>
            <w:r>
              <w:rPr>
                <w:b/>
              </w:rPr>
              <w:t>Основание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я</w:t>
            </w:r>
            <w:r>
              <w:rPr>
                <w:b/>
                <w:lang w:val="en-US"/>
              </w:rPr>
              <w:t xml:space="preserve">) </w:t>
            </w:r>
            <w:r>
              <w:rPr>
                <w:b/>
              </w:rPr>
              <w:t>отказа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приеме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zCs w:val="20"/>
                <w:lang w:val="en-US"/>
              </w:rPr>
              <w:t>ходатайства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и документов: </w:t>
            </w:r>
            <w:r>
              <w:rPr/>
              <w:t>основания не предусмотрены.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5" w:leader="none"/>
                <w:tab w:val="left" w:pos="252" w:leader="none"/>
              </w:tabs>
              <w:spacing w:lineRule="exact" w:line="240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приостановления Услуги: </w:t>
            </w:r>
            <w:r>
              <w:rPr/>
              <w:t>основания не предусмотрены.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5" w:leader="none"/>
                <w:tab w:val="left" w:pos="252" w:leader="none"/>
              </w:tabs>
              <w:spacing w:lineRule="exact" w:line="240"/>
              <w:jc w:val="both"/>
              <w:rPr>
                <w:szCs w:val="20"/>
                <w:lang w:val="en-US"/>
              </w:rPr>
            </w:pPr>
            <w:r>
              <w:rPr>
                <w:b/>
              </w:rPr>
              <w:t>Основание(я) возобновления Услуги:</w:t>
            </w:r>
            <w:r>
              <w:rPr>
                <w:szCs w:val="20"/>
              </w:rPr>
              <w:t xml:space="preserve"> основания не предусмотрены.</w:t>
            </w:r>
          </w:p>
          <w:p>
            <w:pPr>
              <w:pStyle w:val="Normal"/>
              <w:keepNext w:val="true"/>
              <w:tabs>
                <w:tab w:val="clear" w:pos="1134"/>
                <w:tab w:val="left" w:pos="215" w:leader="none"/>
                <w:tab w:val="left" w:pos="252" w:leader="none"/>
              </w:tabs>
              <w:spacing w:lineRule="exact" w:line="240"/>
              <w:jc w:val="both"/>
              <w:rPr>
                <w:szCs w:val="20"/>
              </w:rPr>
            </w:pPr>
            <w:r>
              <w:rPr>
                <w:b/>
              </w:rPr>
              <w:t xml:space="preserve">Критерий(и) принятия решения о предоставлении Услуги: </w:t>
            </w:r>
            <w:r>
              <w:rPr/>
              <w:t>критерии не предусмотрены</w:t>
            </w:r>
          </w:p>
        </w:tc>
      </w:tr>
      <w:tr>
        <w:trPr>
          <w:trHeight w:val="841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Отсутствуют правообладатели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lineRule="exact" w:line="240"/>
              <w:jc w:val="both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-</w:t>
            </w:r>
          </w:p>
        </w:tc>
      </w:tr>
      <w:tr>
        <w:trPr>
          <w:trHeight w:val="339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339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Наличие иных правообладателей земельного участка</w:t>
            </w:r>
          </w:p>
        </w:tc>
      </w:tr>
      <w:tr>
        <w:trPr>
          <w:trHeight w:val="841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Имеются правообладатели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lineRule="exact" w:line="240"/>
              <w:jc w:val="both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-</w:t>
            </w:r>
          </w:p>
        </w:tc>
      </w:tr>
      <w:tr>
        <w:trPr>
          <w:trHeight w:val="841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Отсутствуют правообладатели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lineRule="exact" w:line="240"/>
              <w:jc w:val="both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-</w:t>
            </w:r>
          </w:p>
        </w:tc>
      </w:tr>
    </w:tbl>
    <w:p>
      <w:pPr>
        <w:pStyle w:val="Normal"/>
        <w:keepNext w:val="true"/>
        <w:spacing w:before="0" w:after="1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3</w:t>
      </w:r>
    </w:p>
    <w:p>
      <w:pPr>
        <w:pStyle w:val="NoSpacing"/>
        <w:ind w:left="6237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Минимущества Камчатского края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DOCNUMBER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9496"/>
      </w:tblGrid>
      <w:tr>
        <w:trPr>
          <w:trHeight w:val="561" w:hRule="atLeast"/>
        </w:trPr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kern w:val="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949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  <w:t>1</w:t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недействителен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Информация о паспорте не найдена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недействителен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Информация о паспорте не найдена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недействителен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Информация о паспорте не найдена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недействителен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Информация о паспорте не найдена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ЕГРИП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фамилия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имя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отчество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ЕГРИП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фамилия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имя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отчество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ЕГРИП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фамилия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имя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отчество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ЕГРИП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фамилия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имя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отчество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Перевод земель или земельных участков в составе таких земель из одной категории в другую, 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решения, административные процедуры,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решения, административные процедуры,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проведении и результатах государственной экологической экспертизы (Росприроднадзор).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заключения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наименование объекта государственной экологической экспертизы.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заказчик, представивший материалы на государственную экологическую экспертизу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 (принятие решения, 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 (принятие решения, 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недействителен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Информация о паспорте не найдена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недействителен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Информация о паспорте не найдена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недействителен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Информация о паспорте не найдена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паспорт недействителен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Информация о паспорте не найдена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ЕГРИП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фамилия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имя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отчество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ЕГРИП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фамилия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имя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отчество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ЕГРИП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фамилия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имя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отчество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ЕГРИП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фамилия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имя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отчество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ОГРНИП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обратился лично,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сельскохозяйственного назначения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Исправление опечаток и (или) ошибок, допущенных в результате предоставления Услуги, 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 xml:space="preserve">, обращается через представителя, Земли иных категорий или земельные участки в составе таких земель, имеющий (ая/ее/ие) </w:t>
            </w:r>
            <w:r>
              <w:rPr>
                <w:kern w:val="0"/>
                <w:szCs w:val="20"/>
                <w:lang w:val="ru-RU" w:eastAsia="ru-RU" w:bidi="ar-SA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кадастровый номер.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присвоения кадастрового номера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ранее присвоенный государственный учетный номер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местоположение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площадь, м2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кадастровая стоимость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категория земель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разрешенного использования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лесах, водных объектах и об иных природных объектах, расположенных в пределах земельного участка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особые отметки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правообладатель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ограничение прав и обременение объекта недвижимости (межведомственное взаимодействие)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(межведомственное взаимодействие)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(межведомственное взаимодействие)</w:t>
            </w:r>
          </w:p>
        </w:tc>
      </w:tr>
    </w:tbl>
    <w:p>
      <w:pPr>
        <w:pStyle w:val="Normal"/>
        <w:keepNext w:val="true"/>
        <w:spacing w:lineRule="auto" w:line="259" w:before="0"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4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Минимущества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3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4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являющийся основанием возникновения права собственности, владения, пользования земельным участком (наименование и реквизиты документа):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государственной регистрации права на земельный участок и дата его присвоения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5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6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7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8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или описание местоположения: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разрешенного использования: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9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10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11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принадлежности земельного участка к сельскохозяйственным угодьям, в том числе особо ценным: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пашни: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залежь: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сенокосы: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пастбища: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многолетние насаждения: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особо ценные сельскохозяйственные угодья: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12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государственной регистрации юридического лица: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земельном участке: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(кв.м.):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(местоположение)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правоустанавливающих документов на земельный участок::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земельного участка: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участок, и категория земель, перевод в состав которых предполагается осуществить: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в состав которых входит земельный участок: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категория земель, перевод в состав которых предполагается осуществить: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связи с (указать причину).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13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14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15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16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дома (строения, сооружения, здания, домовладения):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паспортом сверено::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 заявителя: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17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18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19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20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 -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и 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21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22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23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24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</w:rPr>
      </w:pPr>
      <w:r>
        <w:rPr>
          <w:sz w:val="24"/>
          <w:szCs w:val="24"/>
        </w:rPr>
        <w:t>Наименование органа власти (организации)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должности</w:t>
      </w: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  <w:tab/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 и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его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документа, содержащего опечатку и (или) ошибку: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документа, содержащего опечатку и (или) ошибку: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содержащие опечатку и (или) ошибку, которые необходимо исправить: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корректные сведения: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направить почтовым отправлением: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Единого портала: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и 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организации - заявителя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>.</w:t>
      </w:r>
    </w:p>
    <w:sectPr>
      <w:headerReference w:type="default" r:id="rId6"/>
      <w:headerReference w:type="first" r:id="rId7"/>
      <w:footnotePr>
        <w:numFmt w:val="decimal"/>
      </w:footnotePr>
      <w:type w:val="nextPage"/>
      <w:pgSz w:w="11906" w:h="16838"/>
      <w:pgMar w:left="1134" w:right="567" w:gutter="0" w:header="709" w:top="766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 Symbo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>
          <w:szCs w:val="20"/>
        </w:rPr>
      </w:pPr>
      <w:r>
        <w:rPr>
          <w:rStyle w:val="Style16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57"/>
        </w:tabs>
        <w:ind w:left="0" w:hanging="0"/>
      </w:pPr>
      <w:rPr>
        <w:sz w:val="20"/>
        <w:b w:val="false"/>
        <w:szCs w:val="20"/>
        <w:rFonts w:ascii="Times New Roman" w:hAnsi="Times New Roman" w:cs="Times New Roman"/>
        <w:color w:val="auto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rFonts w:ascii="Times New Roman" w:hAnsi="Times New Roman" w:cs="Times New Roman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hanging="0"/>
      </w:pPr>
      <w:rPr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Heading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365F91"/>
      <w:kern w:val="0"/>
      <w:sz w:val="28"/>
      <w:szCs w:val="28"/>
      <w:lang w:val="ru-RU" w:eastAsia="en-US" w:bidi="ar-SA"/>
    </w:rPr>
  </w:style>
  <w:style w:type="paragraph" w:styleId="Heading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6"/>
      <w:szCs w:val="26"/>
      <w:lang w:val="ru-RU" w:eastAsia="en-US" w:bidi="ar-SA"/>
    </w:rPr>
  </w:style>
  <w:style w:type="paragraph" w:styleId="Heading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2"/>
      <w:szCs w:val="22"/>
      <w:lang w:val="ru-RU" w:eastAsia="en-US" w:bidi="ar-SA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F81BD"/>
      <w:kern w:val="0"/>
      <w:sz w:val="22"/>
      <w:szCs w:val="22"/>
      <w:lang w:val="ru-RU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243F60"/>
      <w:kern w:val="0"/>
      <w:sz w:val="22"/>
      <w:szCs w:val="22"/>
      <w:lang w:val="ru-RU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243F60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7"/>
    <w:uiPriority w:val="1"/>
    <w:qFormat/>
    <w:rsid w:val="00143b84"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Style8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FootnoteText">
    <w:name w:val="Footnote Text"/>
    <w:basedOn w:val="Normal"/>
    <w:link w:val="Style15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3D42-72AA-4FF2-8069-0D0630B9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198</Pages>
  <Words>48320</Words>
  <Characters>371946</Characters>
  <CharactersWithSpaces>417612</CharactersWithSpaces>
  <Paragraphs>3745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2024-04-27T09:45:00Z</dcterms:created>
  <dc:creator>Кузнецов Виталий Геннадиевич</dc:creator>
  <dc:description/>
  <dc:language>ru-RU</dc:language>
  <cp:lastModifiedBy>Кузнецов Виталий Геннадиевич</cp:lastModifiedBy>
  <dcterms:modified xsi:type="dcterms:W3CDTF">2024-05-13T08:55:00Z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