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" w:firstLine="5103"/>
        <w:spacing w:after="0" w:line="240" w:lineRule="auto"/>
        <w:widowControl w:val="off"/>
        <w:tabs>
          <w:tab w:val="left" w:pos="8222" w:leader="none"/>
        </w:tabs>
      </w:pPr>
      <w:r>
        <w:rPr>
          <w:rFonts w:ascii="Times New Roman" w:hAnsi="Times New Roman"/>
          <w:sz w:val="28"/>
        </w:rPr>
        <w:t xml:space="preserve">Приложение к приказу Министерства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5103" w:right="-2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</w:t>
      </w:r>
      <w:r>
        <w:rPr>
          <w:rFonts w:ascii="Times New Roman" w:hAnsi="Times New Roman" w:cs="Times New Roman"/>
          <w:sz w:val="28"/>
          <w:szCs w:val="28"/>
        </w:rPr>
        <w:t xml:space="preserve">края</w:t>
      </w:r>
      <w:r>
        <w:rPr>
          <w:rFonts w:ascii="Times New Roman" w:hAnsi="Times New Roman"/>
          <w:sz w:val="28"/>
          <w:szCs w:val="28"/>
        </w:rPr>
      </w:r>
      <w:r/>
    </w:p>
    <w:tbl>
      <w:tblPr>
        <w:tblStyle w:val="668"/>
        <w:tblW w:w="0" w:type="auto"/>
        <w:tblInd w:w="5061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>
        <w:trPr/>
        <w:tc>
          <w:tcPr>
            <w:tcW w:w="239" w:type="dxa"/>
            <w:textDirection w:val="lrTb"/>
            <w:noWrap w:val="false"/>
          </w:tcPr>
          <w:p>
            <w:pPr>
              <w:ind w:left="-65"/>
              <w:jc w:val="right"/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869" w:type="dxa"/>
            <w:textDirection w:val="lrTb"/>
            <w:noWrap w:val="false"/>
          </w:tcPr>
          <w:p>
            <w:pPr>
              <w:jc w:val="right"/>
              <w:spacing w:after="60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[</w:t>
            </w:r>
            <w:r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 xml:space="preserve">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  <w:lang w:val="en-US"/>
              </w:rPr>
              <w:t xml:space="preserve">EGDATESTAMP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 xml:space="preserve">]</w:t>
            </w:r>
            <w:r>
              <w:rPr>
                <w:rFonts w:ascii="Times New Roman" w:hAnsi="Times New Roman"/>
                <w:color w:val="ffffff"/>
                <w:sz w:val="28"/>
                <w:szCs w:val="28"/>
              </w:rPr>
            </w:r>
            <w:r/>
          </w:p>
        </w:tc>
        <w:tc>
          <w:tcPr>
            <w:tcW w:w="486" w:type="dxa"/>
            <w:textDirection w:val="lrTb"/>
            <w:noWrap w:val="false"/>
          </w:tcPr>
          <w:p>
            <w:pPr>
              <w:jc w:val="right"/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right"/>
              <w:spacing w:after="60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 xml:space="preserve">EGNUMSTAMP]</w:t>
            </w:r>
            <w:r>
              <w:rPr>
                <w:rFonts w:ascii="Times New Roman" w:hAnsi="Times New Roman"/>
                <w:color w:val="ffffff"/>
                <w:sz w:val="28"/>
                <w:szCs w:val="28"/>
              </w:rPr>
            </w:r>
            <w:r/>
          </w:p>
        </w:tc>
      </w:tr>
    </w:tbl>
    <w:p>
      <w:pPr>
        <w:ind w:left="5670"/>
        <w:jc w:val="both"/>
        <w:spacing w:after="0" w:line="240" w:lineRule="auto"/>
        <w:suppressLineNumbers/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/>
    </w:p>
    <w:p>
      <w:pPr>
        <w:ind w:left="5102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«Приложение к приказу Министерства имущественных и земельных отношений Камчатского края от 16.04.2021 № 60/54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ind w:left="5102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  <w:suppressLineNumbers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ind w:firstLine="54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ГОСУДАРСТВЕННОГО ИМУЩЕСТВА КАМЧАТСКОГО КРАЯ,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СВОБОДНОГО ОТ ПРАВ ТРЕТЬИХ ЛИЦ (ЗА ИСКЛЮЧЕНИЕМ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ПРАВА ХОЗЯЙСТВЕННОГО ВЕДЕНИЯ, ПРАВА 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4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ОПЕРАТИВНОГО УПРАВЛЕНИЯ, А ТАКЖЕ </w:t>
      </w:r>
      <w:r>
        <w:rPr>
          <w:rFonts w:ascii="Times New Roman" w:hAnsi="Times New Roman" w:cs="Times New Roman"/>
          <w:b/>
          <w:sz w:val="24"/>
          <w:szCs w:val="24"/>
        </w:rPr>
        <w:t xml:space="preserve">ИМУЩЕСТВЕННЫХ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ПРАВ СУБЪЕКТОВ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firstLine="540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tbl>
      <w:tblPr>
        <w:tblW w:w="15633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360"/>
        <w:gridCol w:w="1701"/>
        <w:gridCol w:w="4360"/>
        <w:gridCol w:w="1951"/>
        <w:gridCol w:w="1560"/>
        <w:gridCol w:w="1134"/>
      </w:tblGrid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недвижимости; тип 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ffffff" w:fill="ffffff"/>
            <w:tcW w:w="46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1"/>
        </w:trPr>
        <w:tc>
          <w:tcPr>
            <w:shd w:val="clear" w:color="ffffff" w:fill="ffffff"/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ffffff" w:fill="ffffff"/>
            <w:tcW w:w="46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характеристика объекта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17"/>
        </w:trPr>
        <w:tc>
          <w:tcPr>
            <w:shd w:val="clear" w:color="ffffff" w:fill="ffffff"/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(площадь- для земельных участков, зданий, помещений; протяженность, объем, глубина –для сооружений; протяженность, объем, площадь, глубина залегания согласно проектной документации-для объектов незавершенного строительства)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значение/Проектируемое значение (для объектов незавершенного строительства)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(для площади-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для протяженности-м; для глубины залегания-м; для объема-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Нежилые помещения поз.49-51, 65-72 цокольного этажа в жилом доме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(пом. 95)</w:t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158,4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36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Дальневосточная, д. 34</w:t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цокольного этажа поз. 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Пограничная, 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Нежилое помещение 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17,5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  Пограничная, 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Нежилое помещение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г. Петропавловск-Камчатский, ул.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Бийская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Нежилое помещение поз. 1-4, 4/1, 5, 5/1, 6-9 первого этажа в жилом доме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г. Петропавловск-Камчатский, пр.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 лет Октября,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5/2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Нежилое помещение поз. 13-16, 19-24, 40,41 цокольного этажа в жилом доме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91,3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г. Петропавловск-Камчатский, ул. Ключевская, 56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Нежилые помещения поз. 12, 13 первого этажа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 (пом. 4)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86,2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г. Петропавловск-Камчатский, ул. Лукашевского, 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Нежилые помещения поз. 9, 36 перехода второго этажа в здании редакционно-издательского корпуса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Петропавловск-Камчатский,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Заводская, д.10А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Нежилые помещения поз. "1-17", "22-30" цокольного этажа в жилом доме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485,50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г. Петропавловск-Камчатский, ул.Дальневосточная, д. 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Нежилые помещения поз. 1-5; 7-12; 21-24 цокольного этажа в жилом доме по адресу: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259,8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оссе Восточное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ооружение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Сооружение ограждение проходной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земельный участок с кадастровым номером 41:01:0010120:2686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296 м,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3877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пр-кт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Циолковского,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4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пр-кт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Циолковского, д.42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второго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26,45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</w:t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Пограничная, д. 19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ffffff"/>
              </w:rPr>
              <w:t xml:space="preserve">Нежилые помещения поз 42-46 пятого этажа административного здания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73,7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19</w:t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Океанская, д. 80/2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первого этажа в здании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Физкультурно-оздоровительный комплекс с плавательным бассейном»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Океанская, д. 80/2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Физкультурно-оздоровительный комплекс с плавательным бассейном»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highlight w:val="none"/>
              </w:rPr>
              <w:t xml:space="preserve">56,0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9,4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Нежилые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71, часть поз. 2 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72,9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1,5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12,0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  <w:tr>
        <w:trPr/>
        <w:tc>
          <w:tcPr>
            <w:shd w:val="clear" w:color="ffffff" w:fill="ffffff"/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Камчатский край, 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Петропавловск-Камчатский,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пр-кт Победы, д. 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помещение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3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Часть нежилого помещения поз.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первого этажа в Здании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учебно-тренировочного комплекса с плавательным бассейном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95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none"/>
              </w:rPr>
              <w:t xml:space="preserve">1,0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spacing w:after="120"/>
      </w:pPr>
      <w:r/>
      <w:r/>
    </w:p>
    <w:tbl>
      <w:tblPr>
        <w:tblW w:w="15594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68"/>
        <w:gridCol w:w="2410"/>
        <w:gridCol w:w="1843"/>
        <w:gridCol w:w="1842"/>
        <w:gridCol w:w="1276"/>
        <w:gridCol w:w="1843"/>
        <w:gridCol w:w="2126"/>
        <w:gridCol w:w="992"/>
        <w:gridCol w:w="1134"/>
        <w:gridCol w:w="1560"/>
      </w:tblGrid>
      <w:tr>
        <w:trPr/>
        <w:tc>
          <w:tcPr>
            <w:gridSpan w:val="6"/>
            <w:tcW w:w="97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4"/>
            <w:tcW w:w="58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движимом имуществе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1"/>
        </w:trPr>
        <w:tc>
          <w:tcPr>
            <w:gridSpan w:val="3"/>
            <w:tcW w:w="48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состояние объекта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знак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Марка, модель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(принадлежности) имущества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104"/>
        </w:trPr>
        <w:tc>
          <w:tcPr>
            <w:gridSpan w:val="2"/>
            <w:tcW w:w="2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(кадастровый, условный, устаревший)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41:01:0010115:11508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41:01:0010115:12715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41:01:0010125:2070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41:01:0010125:2071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41:01:0010112:1535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41:01:0010118:9390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41:01:0010122:3858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41:01:0010118:11630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41:01:0010129:3419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8757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41:01:0010120:2494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41:01:0010120:2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686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41:01:0010119:710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41:01:0010119:710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41:01:0010124:1160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</w:t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41:01:0010127:6761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41:01:0010127:6761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21</w:t>
            </w:r>
            <w:r>
              <w:rPr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552"/>
        </w:trPr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tcW w:w="241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41:01:0010113:3011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</w:t>
            </w:r>
            <w:r/>
          </w:p>
        </w:tc>
        <w:tc>
          <w:tcPr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120"/>
      </w:pPr>
      <w:r/>
      <w:r/>
    </w:p>
    <w:tbl>
      <w:tblPr>
        <w:tblW w:w="15735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8"/>
        <w:gridCol w:w="1559"/>
        <w:gridCol w:w="3260"/>
        <w:gridCol w:w="2552"/>
        <w:gridCol w:w="1701"/>
        <w:gridCol w:w="1559"/>
        <w:gridCol w:w="3118"/>
      </w:tblGrid>
      <w:tr>
        <w:trPr/>
        <w:tc>
          <w:tcPr>
            <w:gridSpan w:val="8"/>
            <w:tcW w:w="15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правообладателях и о правах третьих лиц на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044"/>
        </w:trPr>
        <w:tc>
          <w:tcPr>
            <w:gridSpan w:val="3"/>
            <w:tcW w:w="35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договоров аренды и безвозмездного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правообладателя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ограниченного вещного права на имущество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правообладателя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gridSpan w:val="2"/>
            <w:tcW w:w="1986" w:type="dxa"/>
            <w:textDirection w:val="lrTb"/>
            <w:noWrap w:val="false"/>
          </w:tcPr>
          <w:p>
            <w:pPr>
              <w:ind w:firstLine="34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права аренды или права безвозмездного пользования на имущество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срока действия договора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8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9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0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1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2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3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4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5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КГУП «Камчатский 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хозяйственного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4101119472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21-86-98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16" w:tooltip="mailto:Priemnaya@pkvoda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Priemnaya@pkvoda.ru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70c0"/>
              </w:rPr>
            </w:pPr>
            <w:r/>
            <w:hyperlink r:id="rId17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11.08.2024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ГУП «Камчатстройэнергосервис»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хозяйственного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4100019108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23-03-26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18" w:tooltip="mailto:info@kamses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info@kamses.ru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нет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  <w:outlineLvl w:val="1"/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ГУП «Камчатстройэнергосервис»</w:t>
            </w:r>
            <w:r>
              <w:rPr>
                <w:highlight w:val="white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хозяйственного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4100019108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23-03-26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19" w:tooltip="mailto:info@kamses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info@kamses.ru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Петропавловск-Камчатская городская больница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4101068210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24-48-18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0" w:tooltip="mailto:plykchi.np@pkgb2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</w:rPr>
                <w:t xml:space="preserve">plykchi.np@pkgb2.ru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1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2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aefde"/>
              </w:rPr>
            </w:r>
            <w:r/>
          </w:p>
        </w:tc>
      </w:tr>
      <w:tr>
        <w:trPr>
          <w:trHeight w:val="593"/>
        </w:trPr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"Звездный"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4101134417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22-36-58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kamfok@mail.ru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aefde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26.07.2026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"Звездный"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4101134417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22-36-58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kamfok@mail.ru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42-82-24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70c0"/>
              </w:rPr>
            </w:pPr>
            <w:r/>
            <w:hyperlink r:id="rId23" w:tooltip="mailto:MinGosim@kamgov.ru" w:history="1">
              <w:r>
                <w:rPr>
                  <w:rStyle w:val="79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shd w:val="clear" w:color="auto" w:fill="ffffff"/>
                </w:rPr>
                <w:t xml:space="preserve">MinGosim@kamgov.ru</w:t>
              </w:r>
            </w:hyperlink>
            <w:r>
              <w:rPr>
                <w:rFonts w:ascii="Times New Roman" w:hAnsi="Times New Roman" w:cs="Times New Roman"/>
                <w:color w:val="0070c0"/>
                <w:sz w:val="24"/>
                <w:szCs w:val="24"/>
                <w:shd w:val="clear" w:color="auto" w:fill="faefde"/>
              </w:rPr>
            </w:r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</w:t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"Радужный"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4105041467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34-52-00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4" w:tooltip="http://Priemnaya@elizovofok.ru" w:history="1"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  <w:t xml:space="preserve">P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white"/>
                </w:rPr>
                <w:t xml:space="preserve">riemnaya@elizovofok.ru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 ФОК "Радужный"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4105041467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34-52-00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hyperlink r:id="rId25" w:tooltip="http://Priemnaya@elizovofok.ru" w:history="1"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  <w:t xml:space="preserve">P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white"/>
                </w:rPr>
                <w:t xml:space="preserve">riemnaya@elizovofok.ru</w:t>
              </w:r>
              <w:r>
                <w:rPr>
                  <w:rStyle w:val="794"/>
                  <w:rFonts w:ascii="Times New Roman" w:hAnsi="Times New Roman" w:eastAsia="Arial" w:cs="Times New Roman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</w:t>
            </w:r>
            <w:r>
              <w:rPr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31.03.2025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31.03.2025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highlight w:val="white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  <w:tr>
        <w:trPr/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30.09.2024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КГАУДО  "Спортивная школа олимпийского резерва по плаванию"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оперативного управления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4101041836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29-59-25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highlight w:val="none"/>
              </w:rPr>
              <w:t xml:space="preserve">kamplavanie@mail.ru</w:t>
            </w:r>
            <w:r/>
          </w:p>
          <w:p>
            <w:r/>
            <w:r/>
          </w:p>
        </w:tc>
      </w:tr>
    </w:tbl>
    <w:p>
      <w:pPr>
        <w:ind w:left="5102" w:right="0" w:firstLine="0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  <w:suppressLineNumbers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r/>
      <w:r/>
    </w:p>
    <w:sectPr>
      <w:footnotePr/>
      <w:endnotePr/>
      <w:type w:val="nextPage"/>
      <w:pgSz w:w="16838" w:h="11906" w:orient="landscape"/>
      <w:pgMar w:top="85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MinGosim@kamgov.ru" TargetMode="External"/><Relationship Id="rId9" Type="http://schemas.openxmlformats.org/officeDocument/2006/relationships/hyperlink" Target="mailto:MinGosim@kamgov.ru" TargetMode="External"/><Relationship Id="rId10" Type="http://schemas.openxmlformats.org/officeDocument/2006/relationships/hyperlink" Target="mailto:MinGosim@kamgov.ru" TargetMode="External"/><Relationship Id="rId11" Type="http://schemas.openxmlformats.org/officeDocument/2006/relationships/hyperlink" Target="mailto:MinGosim@kamgov.ru" TargetMode="External"/><Relationship Id="rId12" Type="http://schemas.openxmlformats.org/officeDocument/2006/relationships/hyperlink" Target="mailto:MinGosim@kamgov.ru" TargetMode="External"/><Relationship Id="rId13" Type="http://schemas.openxmlformats.org/officeDocument/2006/relationships/hyperlink" Target="mailto:MinGosim@kamgov.ru" TargetMode="External"/><Relationship Id="rId14" Type="http://schemas.openxmlformats.org/officeDocument/2006/relationships/hyperlink" Target="mailto:MinGosim@kamgov.ru" TargetMode="External"/><Relationship Id="rId15" Type="http://schemas.openxmlformats.org/officeDocument/2006/relationships/hyperlink" Target="mailto:MinGosim@kamgov.ru" TargetMode="External"/><Relationship Id="rId16" Type="http://schemas.openxmlformats.org/officeDocument/2006/relationships/hyperlink" Target="mailto:Priemnaya@pkvoda.ru" TargetMode="External"/><Relationship Id="rId17" Type="http://schemas.openxmlformats.org/officeDocument/2006/relationships/hyperlink" Target="mailto:MinGosim@kamgov.ru" TargetMode="External"/><Relationship Id="rId18" Type="http://schemas.openxmlformats.org/officeDocument/2006/relationships/hyperlink" Target="mailto:info@kamses.ru" TargetMode="External"/><Relationship Id="rId19" Type="http://schemas.openxmlformats.org/officeDocument/2006/relationships/hyperlink" Target="mailto:info@kamses.ru" TargetMode="External"/><Relationship Id="rId20" Type="http://schemas.openxmlformats.org/officeDocument/2006/relationships/hyperlink" Target="mailto:plykchi.np@pkgb2.ru" TargetMode="External"/><Relationship Id="rId21" Type="http://schemas.openxmlformats.org/officeDocument/2006/relationships/hyperlink" Target="mailto:MinGosim@kamgov.ru" TargetMode="External"/><Relationship Id="rId22" Type="http://schemas.openxmlformats.org/officeDocument/2006/relationships/hyperlink" Target="mailto:MinGosim@kamgov.ru" TargetMode="External"/><Relationship Id="rId23" Type="http://schemas.openxmlformats.org/officeDocument/2006/relationships/hyperlink" Target="mailto:MinGosim@kamgov.ru" TargetMode="External"/><Relationship Id="rId24" Type="http://schemas.openxmlformats.org/officeDocument/2006/relationships/hyperlink" Target="http://Priemnaya@elizovofok.ru" TargetMode="External"/><Relationship Id="rId25" Type="http://schemas.openxmlformats.org/officeDocument/2006/relationships/hyperlink" Target="http://Priemnaya@elizovofok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2024-04-24T01:03:27Z</dcterms:modified>
</cp:coreProperties>
</file>