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</w:t>
            </w:r>
            <w:r>
              <w:rPr>
                <w:rFonts w:ascii="Times New Roman" w:hAnsi="Times New Roman"/>
                <w:b/>
                <w:sz w:val="28"/>
              </w:rPr>
              <w:t xml:space="preserve">я в приложение к приказу Министерства имущественных и земельных отношений Камчатского края от </w:t>
            </w:r>
            <w:r>
              <w:rPr>
                <w:rFonts w:ascii="Times New Roman" w:hAnsi="Times New Roman"/>
                <w:b/>
                <w:sz w:val="28"/>
              </w:rPr>
              <w:t xml:space="preserve">18.12.2023 № 45-Н</w:t>
            </w:r>
            <w:r>
              <w:rPr>
                <w:rFonts w:ascii="Times New Roman" w:hAnsi="Times New Roman"/>
                <w:b/>
                <w:sz w:val="28"/>
              </w:rPr>
              <w:t xml:space="preserve"> «Об определении перечня объектов недвижимого имущества, в отношении которых налоговая база определяется как кадастровая стоимость, на 2024 год»</w:t>
            </w:r>
            <w:r>
              <w:rPr>
                <w:rFonts w:ascii="Times New Roman" w:hAnsi="Times New Roman"/>
                <w:b/>
                <w:sz w:val="28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Конышевой Сусанны Николаевны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19.02.2024 г. № 60/411,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объекта недвижимого имущества от 06.03.2024 № 012,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11.04.2024 № 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Внести в таблицу приложения к приказу Министерства имущественных и земельных отношений Камчатского края от 18.12.2023 № 45-Н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2024 год» изменение, признав пункт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 2378 у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т</w:t>
      </w:r>
      <w:r>
        <w:rPr>
          <w:rFonts w:ascii="Times New Roman" w:hAnsi="Times New Roman"/>
          <w:sz w:val="28"/>
        </w:rPr>
        <w:t xml:space="preserve">ратившим силу.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 и распространяется на правоотношения, возникшие с 18 декабря 2023 года.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22</cp:revision>
  <dcterms:created xsi:type="dcterms:W3CDTF">2023-06-01T02:47:00Z</dcterms:created>
  <dcterms:modified xsi:type="dcterms:W3CDTF">2024-04-16T23:37:29Z</dcterms:modified>
</cp:coreProperties>
</file>