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 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решением рабочей группы по оценке </w:t>
        <w:br/>
        <w:t xml:space="preserve">эффективности функционирования системы 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внутреннего обеспечения соответствия </w:t>
        <w:br/>
        <w:t xml:space="preserve">требованиям антимонопольного законодательства 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Министерстве имущественных </w:t>
        <w:br/>
        <w:t xml:space="preserve">и земельных отношений  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Камчатского края 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(протокол от 29.01.2024)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ДОКЛАД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ОБ АНТИМОНОПОЛЬНОМ КОМПЛАЕНСЕ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МИНИСТЕРСТВЕ ИМУЩЕСТВЕННЫХ И ЗЕМЕЛЬНЫХ ОТНОШЕНИЙ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КАМЧАТСКОГО КРАЯ ЗА 2023 ГОД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исполнение Указа Президента Российской Федерации от 27.12.2017 № 618 «Об основных направлениях государственной политики по развитию конкуренции» (далее – Указ Президента от 27.12.2017 № 618), в соответствии с Распоряжением Правительства Российской Федерации от 18.10.2018</w:t>
        <w:br/>
        <w:t>№ 2258-р, приказами Министерства имущественных и земельных отношений Камчатского края от 15.02.2019 № 10 «Об организации системы внутреннего обеспечения соответствия требованиям антимонопольного законодательства в Министерстве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имущественных и земельных отношений Камчатского края»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(далее – приказ Министерства от 15.02.2019 № 10), от 20.12.2021 № 60/162 «Об образовании рабочей группы по оценке эффективности функционирования системы внутреннего обеспечения соответствия требованиям антимонопольного законодательства в Министерстве имущественных и земельных отношений Камчатского края» реализуются мероприятия по обеспечению соответствия деятельности Министерства имущественных и земельных отношений Камчатского края (далее – Министерство) требованиям антимонопольного законодательства.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регламентирующие организацию антимонопольного комплаенса в Министерстве, размещены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 во вкладке «Антимонопольный комплаенс» и доступны для ознакомления.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пунктом 2.1. Плана мероприятий по организации в Министерстве имущественных и земельных отношений Камчатского края системы внутреннего обеспечения соответствия требованиям антимонопольного законодательства (антимонопольного комплаенса) уполномоченными должностными лицами в целях выявления и оценки рисков нарушения антимонопольного законодательства проведены следующие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анализ выявленных нарушений антимонопольного законодательства в деятельности Министерства в 2023 году;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действующих нормативных правовых актов Министерства, содержащих положения, реализация которых приводит или может привести к недопущению, ограничению или устранению конкуренции, на соответствие требованиям антимонопольного законодательства;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анализ </w:t>
      </w:r>
      <w:r>
        <w:rPr>
          <w:rFonts w:cs="Times New Roman" w:ascii="Times New Roman" w:hAnsi="Times New Roman"/>
          <w:color w:val="000000"/>
          <w:sz w:val="28"/>
          <w:szCs w:val="28"/>
        </w:rPr>
        <w:t>проектов нормативных правовых актов Министерства на предмет наличия в них положений, противоречащих нормам антимонопольного законодательства;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мониторинг и анализ </w:t>
      </w:r>
      <w:r>
        <w:rPr>
          <w:rFonts w:cs="Times New Roman" w:ascii="Times New Roman" w:hAnsi="Times New Roman"/>
          <w:sz w:val="28"/>
          <w:szCs w:val="28"/>
        </w:rPr>
        <w:t>практики применения антимонопольного законодательства в Министерстве.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проведения анализа выявленных нарушений антимонопольного законодательства в деятельности Министерства уполномоченными должностными лицами проанализированы данные по количеству нарушений антимонопольного законодательства в 2023 году, получены и проанализированы сведения от отделов Министерства по вопросам нарушения антимонопольного законодательства, а также предложения по включению в карту рисков потенциально возможных рисков.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Нарушений антимонопольного законодательства в действиях Министерстве в 2023 году не выявлено.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законодательства является частью механизма реализации государственной политики по обеспечению развития конкуренции, недопущения монополистической деятельности.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в соответствии с частью 3.3. Положения, нормативные правовые акты, проекты нормативных правовых актов Министерства, а также уведомления о сборе замечаний и предложений организаций и граждан по данным актам и проектам размещаются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Министерства. Сбор замечаний и предложений организаций и граждан по нормативным правовым актам, проектам нормативных правовых актов Министерства осуществляется на постоянной основе.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2023 году в нормативных правовых актах, проектах нормативных правовых актов Министерства положений, противоречащих антимонопольному законодательству, не выявлено, замечания и предложения от организаций и граждан не поступили.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Мониторинг и анализ практики применения Министерством антимонопольного законодательства в 2023 году, проведенный уполномоченными должностными лицами на основе информации, полученной в структурных подразделениях Министерства, анализ нормативных правовых актов Министерства показал, что факты нарушения антимонопольного законодательства в деятельности Министерства отсутствуют.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основании проведенных мероприятий по </w:t>
      </w:r>
      <w:r>
        <w:rPr>
          <w:rFonts w:cs="Times New Roman" w:ascii="Times New Roman" w:hAnsi="Times New Roman"/>
          <w:sz w:val="28"/>
          <w:szCs w:val="28"/>
        </w:rPr>
        <w:t xml:space="preserve">выявлению и оценке рисков нарушения антимонопольного законодательства с учетом специфики деятельности Министерства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уполномоченными должностными лицами составлена карта комплаенс-рисков, </w:t>
      </w:r>
      <w:r>
        <w:rPr>
          <w:rFonts w:cs="Times New Roman" w:ascii="Times New Roman" w:hAnsi="Times New Roman"/>
          <w:sz w:val="28"/>
          <w:szCs w:val="28"/>
        </w:rPr>
        <w:t xml:space="preserve">разработан план мероприятий «дорожная карта» по снижению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рисков нарушения антимонопольного законодательства в Министерстве в 2024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В целях обеспечения планирования и осуществления Министерством закупок товаров, работ, услуг для обеспечения государственных нужд (далее - закупка) в Министерстве создана контрактная служба. Приказом Министерства </w:t>
      </w:r>
      <w:r>
        <w:rPr>
          <w:rStyle w:val="Style15"/>
          <w:rFonts w:ascii="Times New Roman" w:hAnsi="Times New Roman"/>
          <w:b w:val="false"/>
          <w:bCs/>
          <w:sz w:val="28"/>
          <w:szCs w:val="28"/>
        </w:rPr>
        <w:t xml:space="preserve">от 20.04.2021 № П-6 утверждено Положение о контрактной службе Министерства, определены ее функции и полномочия.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2023 году сотрудники Министерства, входящие в состав контрактной службы, проходили обучение по вопросам применения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240" w:before="0" w:after="0"/>
        <w:ind w:firstLine="709"/>
        <w:jc w:val="both"/>
        <w:rPr>
          <w:rStyle w:val="Style15"/>
          <w:rFonts w:ascii="Times New Roman" w:hAnsi="Times New Roman"/>
          <w:b w:val="false"/>
          <w:bCs/>
          <w:sz w:val="28"/>
          <w:szCs w:val="28"/>
        </w:rPr>
      </w:pPr>
      <w:r>
        <w:rPr>
          <w:rStyle w:val="Style15"/>
          <w:rFonts w:ascii="Times New Roman" w:hAnsi="Times New Roman"/>
          <w:b w:val="false"/>
          <w:bCs/>
          <w:sz w:val="28"/>
          <w:szCs w:val="28"/>
        </w:rPr>
        <w:t>По закупкам, проведенным Министерством в 2023 году, жалоб не поступало, нарушений требований действующего законодательства не выявлено.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рамках реализации мероприятий антимонопольного комплаенса в течение года уполномоченными должностными лицами осуществлялось консультирование служащих по вопросам, связанным с соблюдением антимонопольного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В целях определения эффективности функционирования системы внутреннего обеспечения соответствия требованиям антимонопольного законодательства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предусмотрена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Методика расчета ключевых показателей эффективности функционирования антимонопольного комплаенса в Министерстве.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Оценка эффективности функционирования в Министерстве антимонопольного комплаенса осуществлена в соответствии со следующими ключевыми показателями: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Коэффициент снижения количества нарушений антимонопольного законодательства со стороны Министерства по сравнению с годом, предшествующем отчетному периоду.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0" distR="0">
                <wp:extent cx="2958465" cy="699770"/>
                <wp:effectExtent l="114300" t="0" r="114300" b="0"/>
                <wp:docPr id="1" name="Полотно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480" cy="699840"/>
                          <a:chOff x="0" y="0"/>
                          <a:chExt cx="2958480" cy="699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58480" cy="699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6560" y="280080"/>
                            <a:ext cx="6440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86600" y="309960"/>
                            <a:ext cx="555120" cy="367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jc w:val="lef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eastAsia="Calibri" w:cs="" w:ascii="Times New Roman" w:hAnsi="Times New Roman" w:cstheme="minorBidi" w:eastAsiaTheme="minorHAnsi"/>
                                  <w:color w:val="000000"/>
                                  <w:sz w:val="34"/>
                                </w:rPr>
                                <w:t>КНоп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51320" y="12600"/>
                            <a:ext cx="316800" cy="367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jc w:val="lef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eastAsia="Calibri" w:cs="" w:ascii="Times New Roman" w:hAnsi="Times New Roman" w:cstheme="minorBidi" w:eastAsiaTheme="minorHAnsi"/>
                                  <w:color w:val="000000"/>
                                  <w:sz w:val="34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480" y="145440"/>
                            <a:ext cx="470520" cy="367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jc w:val="lef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eastAsia="Calibri" w:cs="" w:ascii="Times New Roman" w:hAnsi="Times New Roman" w:cstheme="minorBidi" w:eastAsiaTheme="minorHAnsi"/>
                                  <w:color w:val="000000"/>
                                  <w:sz w:val="34"/>
                                </w:rPr>
                                <w:t>КСН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80720" y="24840"/>
                            <a:ext cx="243720" cy="363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jc w:val="lef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eastAsia="Calibri" w:cs="" w:ascii="Times New Roman" w:hAnsi="Times New Roman" w:cstheme="minorBidi" w:eastAsiaTheme="minorHAnsi"/>
                                  <w:color w:val="000000"/>
                                  <w:sz w:val="34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6200" y="121320"/>
                            <a:ext cx="123840" cy="384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cstheme="minorBidi" w:eastAsiaTheme="minorHAnsi"/>
                                  <w:color w:val="000000"/>
                                  <w:sz w:val="3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32880" y="121320"/>
                            <a:ext cx="122400" cy="380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cstheme="minorBidi" w:eastAsiaTheme="minorHAnsi"/>
                                  <w:color w:val="000000"/>
                                  <w:sz w:val="3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43120" y="170640"/>
                            <a:ext cx="1043280" cy="329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cstheme="minorBidi" w:eastAsiaTheme="minorHAnsi"/>
                                  <w:color w:val="000000"/>
                                  <w:sz w:val="28"/>
                                </w:rPr>
                                <w:t></w:t>
                              </w:r>
                              <w:r>
                                <w:rPr>
                                  <w:rFonts w:cs="" w:ascii="Times New Roman" w:hAnsi="Times New Roman" w:cstheme="minorBidi"/>
                                  <w:sz w:val="28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Полотно 10" style="position:absolute;margin-left:0pt;margin-top:-55.15pt;width:232.95pt;height:55.1pt" coordorigin="0,-1103" coordsize="4659,1102">
                <v:rect id="shape_0" path="m0,0l-2147483645,0l-2147483645,-2147483646l0,-2147483646xe" stroked="f" o:allowincell="f" style="position:absolute;left:0;top:-1103;width:4658;height:1101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line id="shape_0" from="1160,-662" to="2173,-662" stroked="t" o:allowincell="f" style="position:absolute;mso-position-vertical:top">
                  <v:stroke color="black" weight="9000" joinstyle="round" endcap="flat"/>
                  <v:fill o:detectmouseclick="t" on="false"/>
                  <w10:wrap type="square"/>
                </v:line>
                <v:rect id="shape_0" path="m0,0l-2147483645,0l-2147483645,-2147483646l0,-2147483646xe" stroked="f" o:allowincell="f" style="position:absolute;left:1239;top:-615;width:873;height:577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="Calibri" w:cs="" w:ascii="Times New Roman" w:hAnsi="Times New Roman" w:cstheme="minorBidi" w:eastAsiaTheme="minorHAnsi"/>
                            <w:color w:val="000000"/>
                            <w:sz w:val="34"/>
                          </w:rPr>
                          <w:t>КНоп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stroked="f" o:allowincell="f" style="position:absolute;left:1183;top:-1083;width:498;height:577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="Calibri" w:cs="" w:ascii="Times New Roman" w:hAnsi="Times New Roman" w:cstheme="minorBidi" w:eastAsiaTheme="minorHAnsi"/>
                            <w:color w:val="000000"/>
                            <w:sz w:val="34"/>
                          </w:rPr>
                          <w:t>КН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stroked="f" o:allowincell="f" style="position:absolute;left:53;top:-874;width:740;height:577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="Calibri" w:cs="" w:ascii="Times New Roman" w:hAnsi="Times New Roman" w:cstheme="minorBidi" w:eastAsiaTheme="minorHAnsi"/>
                            <w:color w:val="000000"/>
                            <w:sz w:val="34"/>
                          </w:rPr>
                          <w:t>КСН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stroked="f" o:allowincell="f" style="position:absolute;left:1702;top:-1064;width:383;height:571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="Calibri" w:cs="" w:ascii="Times New Roman" w:hAnsi="Times New Roman" w:cstheme="minorBidi" w:eastAsiaTheme="minorHAnsi"/>
                            <w:color w:val="000000"/>
                            <w:sz w:val="34"/>
                          </w:rPr>
                          <w:t>пп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stroked="f" o:allowincell="f" style="position:absolute;left:876;top:-912;width:194;height:60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jc w:val="left"/>
                          <w:rPr/>
                        </w:pPr>
                        <w:r>
                          <w:rPr>
                            <w:rFonts w:eastAsia="Calibri" w:cs="" w:cstheme="minorBidi" w:eastAsiaTheme="minorHAnsi"/>
                            <w:color w:val="000000"/>
                            <w:sz w:val="34"/>
                          </w:rPr>
                          <w:t>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stroked="f" o:allowincell="f" style="position:absolute;left:2414;top:-912;width:192;height:599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jc w:val="left"/>
                          <w:rPr/>
                        </w:pPr>
                        <w:r>
                          <w:rPr>
                            <w:rFonts w:eastAsia="Calibri" w:cs="" w:cstheme="minorBidi" w:eastAsiaTheme="minorHAnsi"/>
                            <w:color w:val="000000"/>
                            <w:sz w:val="34"/>
                          </w:rPr>
                          <w:t>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stroked="f" o:allowincell="f" style="position:absolute;left:2745;top:-835;width:1642;height:518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jc w:val="left"/>
                          <w:rPr/>
                        </w:pPr>
                        <w:r>
                          <w:rPr>
                            <w:rFonts w:eastAsia="Calibri" w:cs="" w:cstheme="minorBidi" w:eastAsiaTheme="minorHAnsi"/>
                            <w:color w:val="000000"/>
                            <w:sz w:val="28"/>
                          </w:rPr>
                          <w:t></w:t>
                        </w:r>
                        <w:r>
                          <w:rPr>
                            <w:rFonts w:cs="" w:ascii="Times New Roman" w:hAnsi="Times New Roman" w:cstheme="minorBidi"/>
                            <w:sz w:val="28"/>
                          </w:rPr>
                          <w:t>где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КСН - коэффициент снижения количества нарушений антимонопольного законодательства со стороны Министерства по сравнению с годом, предшествующем отчетному периоду;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КНпп - количество нарушений антимонопольного законодательства со стороны Министерства в году, предшествующем отчетному периоду;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КНоп - количество нарушений антимонопольного законодательства со стороны Министерства в отчетном периоде.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 Нарушения антимонопольного законодательства со стороны Министерства в 202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 году отсутствовали.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Доля проектов нормативных правовых актов Министерства, в которых выявлены риски нарушения антимонопольного законодательства.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1495425" cy="542925"/>
            <wp:effectExtent l="0" t="0" r="0" b="0"/>
            <wp:docPr id="9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Symbol" w:ascii="Symbol" w:hAnsi="Symbol"/>
          <w:color w:val="000000"/>
          <w:sz w:val="28"/>
          <w:szCs w:val="28"/>
        </w:rPr>
        <w:t></w:t>
      </w:r>
      <w:r>
        <w:rPr>
          <w:rFonts w:eastAsia="Calibri" w:cs="Symbol" w:ascii="Symbol" w:hAnsi="Symbol"/>
          <w:color w:val="000000"/>
          <w:sz w:val="28"/>
          <w:szCs w:val="28"/>
          <w:lang w:val="en-US"/>
        </w:rPr>
        <w:t></w:t>
      </w:r>
      <w:r>
        <w:rPr>
          <w:rFonts w:eastAsia="Calibri" w:cs="Symbol" w:ascii="Symbol" w:hAnsi="Symbol"/>
          <w:color w:val="000000"/>
          <w:sz w:val="28"/>
          <w:szCs w:val="28"/>
        </w:rPr>
        <w:t>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Дпнпа - доля проектов нормативных правовых актов Министерства, в которых выявлены риски нарушения антимонопольного законодательства;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Кпнпа - количество проектов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КНоп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Поскольку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антимонопольным органом в проектах нормативных правовых актов Министерства нарушений антимонопольного законодательства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 в отчетном периоде не выявлено,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1323975" cy="542925"/>
            <wp:effectExtent l="0" t="0" r="0" b="0"/>
            <wp:docPr id="10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Symbol" w:ascii="Symbol" w:hAnsi="Symbol"/>
          <w:color w:val="000000"/>
          <w:sz w:val="28"/>
          <w:szCs w:val="28"/>
        </w:rPr>
        <w:t></w:t>
      </w:r>
      <w:r>
        <w:rPr>
          <w:rFonts w:eastAsia="Calibri" w:cs="Symbol" w:ascii="Symbol" w:hAnsi="Symbol"/>
          <w:color w:val="000000"/>
          <w:sz w:val="28"/>
          <w:szCs w:val="28"/>
          <w:lang w:val="en-US"/>
        </w:rPr>
        <w:t></w:t>
      </w:r>
      <w:r>
        <w:rPr>
          <w:rFonts w:eastAsia="Calibri" w:cs="Symbol" w:ascii="Symbol" w:hAnsi="Symbol"/>
          <w:color w:val="000000"/>
          <w:sz w:val="28"/>
          <w:szCs w:val="28"/>
        </w:rPr>
        <w:t>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где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Днпа - доля нормативных правовых актов Министерства, в которых выявлены риски нарушения антимонопольного законодательства;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Кпнпа - количество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КНоп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нтимонопольным органом в нормативных правовых актах Министерства нарушений антимонопольного законодательства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 в отчетном периоде не выявлено.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1390650" cy="571500"/>
            <wp:effectExtent l="0" t="0" r="0" b="0"/>
            <wp:docPr id="11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Symbol" w:ascii="Symbol" w:hAnsi="Symbol"/>
          <w:color w:val="000000"/>
          <w:sz w:val="28"/>
          <w:szCs w:val="28"/>
        </w:rPr>
        <w:t></w:t>
      </w:r>
      <w:r>
        <w:rPr>
          <w:rFonts w:eastAsia="Calibri" w:cs="Symbol" w:ascii="Symbol" w:hAnsi="Symbol"/>
          <w:color w:val="000000"/>
          <w:sz w:val="28"/>
          <w:szCs w:val="28"/>
        </w:rPr>
        <w:t>18</w:t>
      </w:r>
      <w:r>
        <w:rPr>
          <w:rFonts w:eastAsia="Calibri" w:cs="Symbol" w:ascii="Symbol" w:hAnsi="Symbol"/>
          <w:color w:val="000000"/>
          <w:sz w:val="28"/>
          <w:szCs w:val="28"/>
          <w:lang w:val="en-US"/>
        </w:rPr>
        <w:t></w:t>
      </w:r>
      <w:r>
        <w:rPr>
          <w:rFonts w:eastAsia="Calibri" w:cs="Symbol" w:ascii="Symbol" w:hAnsi="Symbol"/>
          <w:color w:val="000000"/>
          <w:sz w:val="28"/>
          <w:szCs w:val="28"/>
        </w:rPr>
        <w:t>5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где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ДСо - доля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КСо - количество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КСобщ - общее количество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проведенной оценке антимонопольный комплаенс в Министерстве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функционирует эффективно. Уровень риска нарушения антимонопольного законодательства низкий. </w:t>
      </w:r>
    </w:p>
    <w:sectPr>
      <w:headerReference w:type="default" r:id="rId5"/>
      <w:type w:val="nextPage"/>
      <w:pgSz w:w="11906" w:h="16838"/>
      <w:pgMar w:left="1701" w:right="850" w:gutter="0" w:header="420" w:top="1210" w:footer="0" w:bottom="71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spacing w:before="0" w:after="16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5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44442"/>
    <w:rPr>
      <w:rFonts w:ascii="Segoe UI" w:hAnsi="Segoe UI" w:cs="Segoe UI"/>
      <w:sz w:val="18"/>
      <w:szCs w:val="18"/>
    </w:rPr>
  </w:style>
  <w:style w:type="character" w:styleId="Style15" w:customStyle="1">
    <w:name w:val="Цветовое выделение"/>
    <w:uiPriority w:val="99"/>
    <w:qFormat/>
    <w:rsid w:val="00ec2962"/>
    <w:rPr>
      <w:b/>
      <w:bCs w:val="false"/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70b2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444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d684c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24D4-F306-47DF-956C-BCCE31D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Application>LibreOffice/7.5.3.2$Windows_X86_64 LibreOffice_project/9f56dff12ba03b9acd7730a5a481eea045e468f3</Application>
  <AppVersion>15.0000</AppVersion>
  <Pages>5</Pages>
  <Words>1089</Words>
  <Characters>8751</Characters>
  <CharactersWithSpaces>9770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2020-01-29T22:26:00Z</dcterms:created>
  <dc:creator>Соцкая Оксана Витальевна</dc:creator>
  <dc:description/>
  <dc:language>ru-RU</dc:language>
  <cp:lastModifiedBy/>
  <cp:lastPrinted>2024-02-05T16:09:31Z</cp:lastPrinted>
  <dcterms:modified xsi:type="dcterms:W3CDTF">2024-02-05T16:13:55Z</dcterms:modified>
  <cp:revision>273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