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в перечни объектов недвижимого имущества, в отношении которых налоговая база определяется как кадастровая стоимость на 2023, 2024 годы</w:t>
            </w:r>
            <w:r>
              <w:rPr>
                <w:rFonts w:ascii="Times New Roman" w:hAnsi="Times New Roman"/>
                <w:b/>
                <w:sz w:val="28"/>
              </w:rPr>
            </w:r>
            <w:r/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общества с ограниченной ответственностью «Заозерный»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22.12.2023 г. № 60/3549,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 объекта недвижимого имущества от 12.01.2024 № 1,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17.01.2024 № 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12.12.2022 № П-52</w:t>
      </w:r>
      <w:r/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2023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</w:rPr>
        <w:t xml:space="preserve">3481 утратившим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Внести в таблицу приложения к приказу Министерства имущественных и земельных отношений Камчатского края от 18.12.2023 № 45-Н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2024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 xml:space="preserve">3451 у</w:t>
      </w:r>
      <w:r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 xml:space="preserve">т</w:t>
      </w:r>
      <w:r>
        <w:rPr>
          <w:rFonts w:ascii="Times New Roman" w:hAnsi="Times New Roman" w:cs="Times New Roman"/>
          <w:bCs/>
          <w:sz w:val="28"/>
          <w:szCs w:val="28"/>
        </w:rPr>
        <w:t xml:space="preserve">ратившим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Положения части 1 настоящего приказа вступают в силу через 10 дней после дня его официального опубликования и распространяются на правоотношения, возникшие с </w:t>
      </w:r>
      <w:r>
        <w:rPr>
          <w:rFonts w:ascii="Times New Roman" w:hAnsi="Times New Roman" w:cs="Times New Roman"/>
          <w:bCs/>
          <w:sz w:val="28"/>
          <w:szCs w:val="28"/>
        </w:rPr>
        <w:t xml:space="preserve">12 декабря 2022 года.</w:t>
      </w:r>
      <w:r/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Положения части 2 настоящего приказа вступают в силу через 10 дней после дня его официального опубликования и распространяются на правоотношения, возникшие с 18 декабря 2023 года.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16</cp:revision>
  <dcterms:created xsi:type="dcterms:W3CDTF">2023-06-01T02:47:00Z</dcterms:created>
  <dcterms:modified xsi:type="dcterms:W3CDTF">2024-01-17T23:49:37Z</dcterms:modified>
</cp:coreProperties>
</file>