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36" y="0"/>
                <wp:lineTo x="-136" y="20778"/>
                <wp:lineTo x="20832" y="20778"/>
                <wp:lineTo x="20832" y="0"/>
                <wp:lineTo x="-136"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76" w:before="0" w:after="0"/>
        <w:ind w:left="0" w:right="0" w:firstLine="709"/>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rPr>
            </w:pPr>
            <w:r>
              <w:rPr>
                <w:rFonts w:ascii="Times New Roman" w:hAnsi="Times New Roman"/>
                <w:sz w:val="20"/>
              </w:rPr>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4"/>
        <w:tblW w:w="9780" w:type="dxa"/>
        <w:jc w:val="left"/>
        <w:tblInd w:w="-142" w:type="dxa"/>
        <w:tblLayout w:type="fixed"/>
        <w:tblCellMar>
          <w:top w:w="0" w:type="dxa"/>
          <w:left w:w="108" w:type="dxa"/>
          <w:bottom w:w="0" w:type="dxa"/>
          <w:right w:w="108" w:type="dxa"/>
        </w:tblCellMar>
      </w:tblPr>
      <w:tblGrid>
        <w:gridCol w:w="9780"/>
      </w:tblGrid>
      <w:tr>
        <w:trPr/>
        <w:tc>
          <w:tcPr>
            <w:tcW w:w="9780"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b/>
                <w:b/>
                <w:color w:val="000000"/>
                <w:sz w:val="28"/>
              </w:rPr>
            </w:pPr>
            <w:r>
              <w:rPr>
                <w:rFonts w:ascii="Times New Roman" w:hAnsi="Times New Roman"/>
                <w:b/>
                <w:color w:val="000000"/>
                <w:spacing w:val="0"/>
                <w:kern w:val="0"/>
                <w:sz w:val="28"/>
                <w:szCs w:val="20"/>
              </w:rPr>
              <w:t>Об особенностях разработки прогнозного плана (программы) приватизации имущества, находящегося в государственной собственности Камчатского края, на плановый период</w:t>
            </w:r>
          </w:p>
        </w:tc>
      </w:tr>
      <w:tr>
        <w:trPr/>
        <w:tc>
          <w:tcPr>
            <w:tcW w:w="9780"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rPr>
            </w:pPr>
            <w:r>
              <w:rPr>
                <w:rFonts w:ascii="Times New Roman" w:hAnsi="Times New Roman"/>
                <w:sz w:val="28"/>
              </w:rPr>
            </w:r>
          </w:p>
        </w:tc>
      </w:tr>
      <w:tr>
        <w:trPr>
          <w:trHeight w:val="200" w:hRule="atLeast"/>
        </w:trPr>
        <w:tc>
          <w:tcPr>
            <w:tcW w:w="9780"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rPr>
            </w:pPr>
            <w:r>
              <w:rPr>
                <w:rFonts w:ascii="Times New Roman" w:hAnsi="Times New Roman"/>
                <w:sz w:val="28"/>
              </w:rPr>
            </w:r>
          </w:p>
        </w:tc>
      </w:tr>
    </w:tbl>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соответствии со статьей 10 Федерального закона от 21.12.2001</w:t>
        <w:br/>
        <w:t xml:space="preserve">№ 178-ФЗ «О приватизации государственного и муниципального имущества» и пунктом 16 статьи 7 Закона Камчатского края от 16.12.2009 № 378 «О порядке управления и распоряжения имуществом, находящимся в государственной собственности Камчатского края» </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ПРАВИТЕЛЬСТВО ПОСТАНОВЛЯЕТ:</w:t>
      </w:r>
    </w:p>
    <w:p>
      <w:pPr>
        <w:pStyle w:val="Normal"/>
        <w:spacing w:lineRule="auto" w:line="240" w:before="0" w:after="0"/>
        <w:jc w:val="both"/>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numPr>
          <w:ilvl w:val="0"/>
          <w:numId w:val="1"/>
        </w:numPr>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Установить особенности разработки прогнозного плана (программы) приватизации имущества, находящегося в государственной собственности Камчатского края, на плановый период согласно приложению 1 к настоящему постановлению.</w:t>
      </w:r>
    </w:p>
    <w:p>
      <w:pPr>
        <w:pStyle w:val="Normal"/>
        <w:widowControl w:val="false"/>
        <w:numPr>
          <w:ilvl w:val="0"/>
          <w:numId w:val="1"/>
        </w:numPr>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Признать утратившими силу постановления Правительства Камчатского края согласно приложению 2 к настоящему постановлению. </w:t>
      </w:r>
    </w:p>
    <w:p>
      <w:pPr>
        <w:pStyle w:val="Normal"/>
        <w:widowControl w:val="false"/>
        <w:numPr>
          <w:ilvl w:val="0"/>
          <w:numId w:val="1"/>
        </w:numPr>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Настоящее Постановление вступает в силу после дня его официального опубликования.</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tbl>
      <w:tblPr>
        <w:tblStyle w:val="Style_3"/>
        <w:tblW w:w="9532" w:type="dxa"/>
        <w:jc w:val="left"/>
        <w:tblInd w:w="-34" w:type="dxa"/>
        <w:tblLayout w:type="fixed"/>
        <w:tblCellMar>
          <w:top w:w="0" w:type="dxa"/>
          <w:left w:w="0" w:type="dxa"/>
          <w:bottom w:w="0" w:type="dxa"/>
          <w:right w:w="0" w:type="dxa"/>
        </w:tblCellMar>
      </w:tblPr>
      <w:tblGrid>
        <w:gridCol w:w="3578"/>
        <w:gridCol w:w="3544"/>
        <w:gridCol w:w="2410"/>
      </w:tblGrid>
      <w:tr>
        <w:trPr>
          <w:trHeight w:val="1985" w:hRule="atLeast"/>
        </w:trPr>
        <w:tc>
          <w:tcPr>
            <w:tcW w:w="3578" w:type="dxa"/>
            <w:tcBorders/>
            <w:shd w:fill="auto" w:val="clear"/>
          </w:tcPr>
          <w:p>
            <w:pPr>
              <w:pStyle w:val="Normal"/>
              <w:widowControl w:val="false"/>
              <w:suppressAutoHyphens w:val="true"/>
              <w:spacing w:lineRule="auto" w:line="240" w:before="0" w:after="0"/>
              <w:ind w:left="30" w:right="27" w:hanging="0"/>
              <w:jc w:val="left"/>
              <w:rPr>
                <w:rFonts w:ascii="Times New Roman" w:hAnsi="Times New Roman"/>
                <w:spacing w:val="0"/>
                <w:kern w:val="0"/>
                <w:sz w:val="28"/>
                <w:szCs w:val="20"/>
              </w:rPr>
            </w:pPr>
            <w:r>
              <w:rPr>
                <w:rFonts w:ascii="Times New Roman" w:hAnsi="Times New Roman"/>
                <w:spacing w:val="0"/>
                <w:kern w:val="0"/>
                <w:sz w:val="28"/>
                <w:szCs w:val="20"/>
                <w:shd w:fill="auto" w:val="clear"/>
              </w:rPr>
              <w:t>Председатель Правительства Камчатского края</w:t>
            </w:r>
          </w:p>
          <w:p>
            <w:pPr>
              <w:pStyle w:val="Normal"/>
              <w:widowControl w:val="false"/>
              <w:suppressAutoHyphens w:val="true"/>
              <w:spacing w:lineRule="auto" w:line="240" w:before="0" w:after="0"/>
              <w:ind w:left="30" w:right="27" w:hanging="0"/>
              <w:jc w:val="left"/>
              <w:rPr>
                <w:rFonts w:ascii="Times New Roman" w:hAnsi="Times New Roman"/>
                <w:sz w:val="24"/>
                <w:highlight w:val="none"/>
                <w:shd w:fill="auto" w:val="clear"/>
              </w:rPr>
            </w:pPr>
            <w:r>
              <w:rPr>
                <w:rFonts w:ascii="Times New Roman" w:hAnsi="Times New Roman"/>
                <w:sz w:val="24"/>
                <w:shd w:fill="auto" w:val="clear"/>
              </w:rPr>
            </w:r>
          </w:p>
        </w:tc>
        <w:tc>
          <w:tcPr>
            <w:tcW w:w="3544" w:type="dxa"/>
            <w:tcBorders/>
            <w:shd w:fill="auto" w:val="clear"/>
          </w:tcPr>
          <w:p>
            <w:pPr>
              <w:pStyle w:val="Normal"/>
              <w:widowControl w:val="false"/>
              <w:suppressAutoHyphens w:val="true"/>
              <w:spacing w:lineRule="auto" w:line="240" w:before="0" w:after="0"/>
              <w:ind w:left="3" w:right="0" w:hanging="3"/>
              <w:jc w:val="left"/>
              <w:rPr>
                <w:rFonts w:ascii="Times New Roman" w:hAnsi="Times New Roman"/>
                <w:color w:val="FFFFFF"/>
                <w:spacing w:val="0"/>
                <w:kern w:val="0"/>
                <w:sz w:val="24"/>
                <w:szCs w:val="20"/>
              </w:rPr>
            </w:pPr>
            <w:bookmarkStart w:id="1" w:name="SIGNERSTAMP1"/>
            <w:r>
              <w:rPr>
                <w:rFonts w:ascii="Times New Roman" w:hAnsi="Times New Roman"/>
                <w:color w:val="FFFFFF"/>
                <w:spacing w:val="0"/>
                <w:kern w:val="0"/>
                <w:sz w:val="24"/>
                <w:szCs w:val="20"/>
                <w:shd w:fill="auto" w:val="clear"/>
              </w:rPr>
              <w:t>[горизонтальный штамп подписи 1]</w:t>
            </w:r>
            <w:bookmarkEnd w:id="1"/>
          </w:p>
          <w:p>
            <w:pPr>
              <w:pStyle w:val="Normal"/>
              <w:widowControl w:val="false"/>
              <w:suppressAutoHyphens w:val="true"/>
              <w:spacing w:lineRule="auto" w:line="240" w:before="0" w:after="0"/>
              <w:ind w:left="142" w:right="0" w:hanging="142"/>
              <w:jc w:val="left"/>
              <w:rPr>
                <w:rFonts w:ascii="Times New Roman" w:hAnsi="Times New Roman"/>
                <w:sz w:val="24"/>
                <w:highlight w:val="none"/>
                <w:shd w:fill="auto" w:val="clear"/>
              </w:rPr>
            </w:pPr>
            <w:r>
              <w:rPr>
                <w:rFonts w:ascii="Times New Roman" w:hAnsi="Times New Roman"/>
                <w:sz w:val="24"/>
                <w:shd w:fill="auto" w:val="clear"/>
              </w:rPr>
            </w:r>
          </w:p>
        </w:tc>
        <w:tc>
          <w:tcPr>
            <w:tcW w:w="2410" w:type="dxa"/>
            <w:tcBorders/>
            <w:shd w:fill="auto" w:val="clear"/>
          </w:tcPr>
          <w:p>
            <w:pPr>
              <w:pStyle w:val="Normal"/>
              <w:widowControl w:val="false"/>
              <w:suppressAutoHyphens w:val="true"/>
              <w:spacing w:lineRule="auto" w:line="240" w:before="0" w:after="0"/>
              <w:ind w:left="0" w:right="135" w:hanging="0"/>
              <w:jc w:val="right"/>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suppressAutoHyphens w:val="true"/>
              <w:spacing w:lineRule="auto" w:line="240" w:before="0" w:after="0"/>
              <w:ind w:left="0" w:right="0" w:hanging="0"/>
              <w:jc w:val="right"/>
              <w:rPr>
                <w:rFonts w:ascii="Times New Roman" w:hAnsi="Times New Roman"/>
                <w:spacing w:val="0"/>
                <w:kern w:val="0"/>
                <w:sz w:val="28"/>
                <w:szCs w:val="20"/>
              </w:rPr>
            </w:pPr>
            <w:r>
              <w:rPr>
                <w:rFonts w:ascii="Times New Roman" w:hAnsi="Times New Roman"/>
                <w:spacing w:val="0"/>
                <w:kern w:val="0"/>
                <w:sz w:val="28"/>
                <w:szCs w:val="20"/>
                <w:shd w:fill="auto" w:val="clear"/>
              </w:rPr>
              <w:t>Е.А. Чекин</w:t>
            </w:r>
          </w:p>
        </w:tc>
      </w:tr>
    </w:tbl>
    <w:p>
      <w:pPr>
        <w:sectPr>
          <w:type w:val="nextPage"/>
          <w:pgSz w:w="11906" w:h="16838"/>
          <w:pgMar w:left="1418" w:right="851" w:gutter="0" w:header="0" w:top="709" w:footer="0" w:bottom="567"/>
          <w:pgNumType w:start="1" w:fmt="decimal"/>
          <w:formProt w:val="false"/>
          <w:textDirection w:val="lrTb"/>
          <w:docGrid w:type="default" w:linePitch="100" w:charSpace="0"/>
        </w:sectPr>
      </w:pP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7"/>
        <w:gridCol w:w="483"/>
        <w:gridCol w:w="3604"/>
        <w:gridCol w:w="546"/>
        <w:gridCol w:w="1874"/>
        <w:gridCol w:w="488"/>
        <w:gridCol w:w="1686"/>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3"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604"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594" w:type="dxa"/>
            <w:gridSpan w:val="4"/>
            <w:tcBorders>
              <w:top w:val="nil"/>
              <w:left w:val="nil"/>
              <w:bottom w:val="nil"/>
              <w:right w:val="nil"/>
            </w:tcBorders>
          </w:tcPr>
          <w:p>
            <w:pPr>
              <w:pStyle w:val="Normal"/>
              <w:widowControl w:val="false"/>
              <w:suppressAutoHyphens w:val="true"/>
              <w:spacing w:lineRule="auto" w:line="240" w:before="0" w:after="0"/>
              <w:ind w:left="8079" w:right="0" w:hanging="807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Приложение 1 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3"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604"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594" w:type="dxa"/>
            <w:gridSpan w:val="4"/>
            <w:tcBorders>
              <w:top w:val="nil"/>
              <w:left w:val="nil"/>
              <w:bottom w:val="nil"/>
              <w:right w:val="nil"/>
            </w:tcBorders>
          </w:tcPr>
          <w:p>
            <w:pPr>
              <w:pStyle w:val="Normal"/>
              <w:widowControl w:val="false"/>
              <w:suppressAutoHyphens w:val="true"/>
              <w:spacing w:lineRule="auto" w:line="240" w:before="0" w:after="0"/>
              <w:ind w:left="8079" w:right="0" w:hanging="807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Правительства Камчатского края</w:t>
            </w:r>
          </w:p>
        </w:tc>
      </w:tr>
      <w:tr>
        <w:trPr/>
        <w:tc>
          <w:tcPr>
            <w:tcW w:w="47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3"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604"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54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w:t>
            </w:r>
          </w:p>
        </w:tc>
        <w:tc>
          <w:tcPr>
            <w:tcW w:w="1874"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highlight w:val="none"/>
                <w:shd w:fill="auto" w:val="clear"/>
              </w:rPr>
            </w:pPr>
            <w:r>
              <w:rPr>
                <w:rFonts w:ascii="Times New Roman" w:hAnsi="Times New Roman"/>
                <w:color w:val="FFFFFF" w:themeColor="background1"/>
                <w:spacing w:val="0"/>
                <w:kern w:val="0"/>
                <w:sz w:val="28"/>
                <w:szCs w:val="20"/>
                <w:shd w:fill="auto" w:val="clear"/>
              </w:rPr>
              <w:t>[R</w:t>
            </w:r>
            <w:r>
              <w:rPr>
                <w:rFonts w:ascii="Times New Roman" w:hAnsi="Times New Roman"/>
                <w:color w:val="FFFFFF" w:themeColor="background1"/>
                <w:spacing w:val="0"/>
                <w:kern w:val="0"/>
                <w:sz w:val="16"/>
                <w:szCs w:val="20"/>
                <w:shd w:fill="auto" w:val="clear"/>
              </w:rPr>
              <w:t>EGDATESTAMP]</w:t>
            </w:r>
          </w:p>
        </w:tc>
        <w:tc>
          <w:tcPr>
            <w:tcW w:w="488"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w:t>
            </w:r>
          </w:p>
        </w:tc>
        <w:tc>
          <w:tcPr>
            <w:tcW w:w="168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highlight w:val="none"/>
                <w:shd w:fill="auto" w:val="clear"/>
              </w:rPr>
            </w:pPr>
            <w:r>
              <w:rPr>
                <w:rFonts w:ascii="Times New Roman" w:hAnsi="Times New Roman"/>
                <w:color w:val="FFFFFF" w:themeColor="background1"/>
                <w:spacing w:val="0"/>
                <w:kern w:val="0"/>
                <w:sz w:val="28"/>
                <w:szCs w:val="20"/>
                <w:shd w:fill="auto" w:val="clear"/>
              </w:rPr>
              <w:t>[R</w:t>
            </w:r>
            <w:r>
              <w:rPr>
                <w:rFonts w:ascii="Times New Roman" w:hAnsi="Times New Roman"/>
                <w:color w:val="FFFFFF" w:themeColor="background1"/>
                <w:spacing w:val="0"/>
                <w:kern w:val="0"/>
                <w:sz w:val="16"/>
                <w:szCs w:val="20"/>
                <w:shd w:fill="auto" w:val="clear"/>
              </w:rPr>
              <w:t>EGNUMSTAMP]</w:t>
            </w:r>
          </w:p>
        </w:tc>
      </w:tr>
    </w:tbl>
    <w:p>
      <w:pPr>
        <w:pStyle w:val="Normal"/>
        <w:widowControl w:val="false"/>
        <w:spacing w:lineRule="auto" w:line="240"/>
        <w:jc w:val="both"/>
        <w:rPr>
          <w:highlight w:val="none"/>
          <w:shd w:fill="auto" w:val="clear"/>
        </w:rPr>
      </w:pPr>
      <w:r>
        <w:rPr>
          <w:shd w:fill="auto" w:val="clear"/>
        </w:rPr>
      </w:r>
    </w:p>
    <w:p>
      <w:pPr>
        <w:pStyle w:val="Normal"/>
        <w:widowControl w:val="false"/>
        <w:spacing w:lineRule="auto" w:line="240" w:before="0" w:after="0"/>
        <w:jc w:val="center"/>
        <w:rPr>
          <w:highlight w:val="none"/>
          <w:shd w:fill="auto" w:val="clear"/>
        </w:rPr>
      </w:pPr>
      <w:r>
        <w:rPr>
          <w:rFonts w:ascii="Times New Roman" w:hAnsi="Times New Roman"/>
          <w:sz w:val="28"/>
          <w:shd w:fill="auto" w:val="clear"/>
        </w:rPr>
        <w:t>Особенности разработки прогнозного плана (программы) приватизации имущества, находящегося в государственной собственности Камчатского края, на плановый период</w:t>
      </w:r>
    </w:p>
    <w:p>
      <w:pPr>
        <w:pStyle w:val="Normal"/>
        <w:widowControl w:val="false"/>
        <w:spacing w:lineRule="auto" w:line="240" w:before="0" w:after="0"/>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spacing w:lineRule="auto" w:line="240" w:before="0" w:after="0"/>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numPr>
          <w:ilvl w:val="0"/>
          <w:numId w:val="2"/>
        </w:numPr>
        <w:tabs>
          <w:tab w:val="clear" w:pos="708"/>
          <w:tab w:val="left" w:pos="1096" w:leader="none"/>
        </w:tabs>
        <w:spacing w:lineRule="auto" w:line="240" w:before="0" w:after="0"/>
        <w:ind w:left="0" w:right="0" w:firstLine="709"/>
        <w:jc w:val="both"/>
        <w:rPr>
          <w:highlight w:val="none"/>
          <w:shd w:fill="auto" w:val="clear"/>
        </w:rPr>
      </w:pPr>
      <w:r>
        <w:rPr>
          <w:rFonts w:ascii="Times New Roman" w:hAnsi="Times New Roman"/>
          <w:sz w:val="28"/>
          <w:shd w:fill="auto" w:val="clear"/>
        </w:rPr>
        <w:t xml:space="preserve">Прогнозный план (программа) приватизации имущества, находящегося в государственной собственности Камчатского края (далее </w:t>
      </w:r>
      <w:r>
        <w:rPr>
          <w:rFonts w:cs="Times New Roman" w:ascii="Times New Roman" w:hAnsi="Times New Roman"/>
          <w:color w:val="000000"/>
          <w:sz w:val="28"/>
          <w:szCs w:val="28"/>
          <w:shd w:fill="auto" w:val="clear"/>
        </w:rPr>
        <w:t>–</w:t>
      </w:r>
      <w:r>
        <w:rPr>
          <w:rFonts w:ascii="Times New Roman" w:hAnsi="Times New Roman"/>
          <w:sz w:val="28"/>
          <w:shd w:fill="auto" w:val="clear"/>
        </w:rPr>
        <w:t xml:space="preserve">   государственное имущество Камчатского края), на плановый период (далее </w:t>
      </w:r>
      <w:r>
        <w:rPr>
          <w:rFonts w:cs="Times New Roman" w:ascii="Times New Roman" w:hAnsi="Times New Roman"/>
          <w:color w:val="000000"/>
          <w:sz w:val="28"/>
          <w:szCs w:val="28"/>
          <w:shd w:fill="auto" w:val="clear"/>
        </w:rPr>
        <w:t>–</w:t>
      </w:r>
      <w:r>
        <w:rPr>
          <w:rFonts w:ascii="Times New Roman" w:hAnsi="Times New Roman"/>
          <w:sz w:val="28"/>
          <w:shd w:fill="auto" w:val="clear"/>
        </w:rPr>
        <w:t xml:space="preserve"> Программа) разрабатывается Министерством имущественных и земельных отношений Камчатского края (далее </w:t>
      </w:r>
      <w:r>
        <w:rPr>
          <w:rFonts w:cs="Times New Roman" w:ascii="Times New Roman" w:hAnsi="Times New Roman"/>
          <w:color w:val="000000"/>
          <w:sz w:val="28"/>
          <w:szCs w:val="28"/>
          <w:shd w:fill="auto" w:val="clear"/>
        </w:rPr>
        <w:t>–</w:t>
      </w:r>
      <w:r>
        <w:rPr>
          <w:rFonts w:ascii="Times New Roman" w:hAnsi="Times New Roman"/>
          <w:sz w:val="28"/>
          <w:shd w:fill="auto" w:val="clear"/>
        </w:rPr>
        <w:t xml:space="preserve"> Министерство), в том числе с учетом предложений исполнительных органов Камчатского края, уполномоченных в соответствующей сфере деятельности, органов местного самоуправления муниципальных образований в Камчатском крае, государственных унитарных предприятий Камчатского края, а также акционерных обществ и обществ с ограниченной ответственностью, акции, доли в уставных капиталах которых находятся в государственной собственности Камчатского края, иных юридических лиц и граждан.</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 xml:space="preserve">2. Программа разрабатывается Министерством на плановый период, который составляет от одного года до трех лет. Внесение изменений в утвержденную Программу осуществляется в течение планового периода по мере необходимости в порядке, установленном настоящими особенностями, без учета сроков, установленных в частях 4 </w:t>
      </w:r>
      <w:r>
        <w:rPr>
          <w:rFonts w:cs="Times New Roman" w:ascii="Times New Roman" w:hAnsi="Times New Roman"/>
          <w:color w:val="000000"/>
          <w:sz w:val="28"/>
          <w:szCs w:val="28"/>
          <w:shd w:fill="auto" w:val="clear"/>
        </w:rPr>
        <w:t xml:space="preserve">– </w:t>
      </w:r>
      <w:r>
        <w:rPr>
          <w:rFonts w:ascii="Times New Roman" w:hAnsi="Times New Roman"/>
          <w:sz w:val="28"/>
          <w:shd w:fill="auto" w:val="clear"/>
        </w:rPr>
        <w:t>7.</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Программа состоит из двух разделов:</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1) первый раздел Программы содержит основные направления и задачи приватизации государственного имущества Камчатского края, описание объектов приватизации, количественные характеристики имущества, подлежащего приватизации и прогноз объемов поступлений средств в краевой бюджет в результате исполнения Программы;</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второй раздел Программы содержит:</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 xml:space="preserve">а) перечни государственного имущества Камчатского края, приватизация которого планируется в плановом периоде (государственных унитарных предприятий Камчатского края, акций акционерных обществ, находящихся в государственной собственности Камчатского края, долей в уставных капиталах обществ с ограниченной ответственностью, находящихся в государственной собственности Камчатского края, иного государственного имущества Камчатского края), с указанием характеристики соответствующего имущества (далее </w:t>
      </w:r>
      <w:r>
        <w:rPr>
          <w:rFonts w:cs="Times New Roman" w:ascii="Times New Roman" w:hAnsi="Times New Roman"/>
          <w:color w:val="000000"/>
          <w:sz w:val="28"/>
          <w:szCs w:val="28"/>
          <w:shd w:fill="auto" w:val="clear"/>
        </w:rPr>
        <w:t>–</w:t>
      </w:r>
      <w:r>
        <w:rPr>
          <w:rFonts w:ascii="Times New Roman" w:hAnsi="Times New Roman"/>
          <w:sz w:val="28"/>
          <w:shd w:fill="auto" w:val="clear"/>
        </w:rPr>
        <w:t xml:space="preserve"> перечни). В перечни не включается недвижимое имущество, находящееся в государственной собственности Камчатского края, приватизация которого осуществляется по инициативе субъектов малого и среднего предпринимательства в порядке реализации ими преимущественного права на приобретение арендуемого имущества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 предполагаемые сроки приватизации государственного имущества Камчатского края.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4. Не позднее 1 июля года, в котором истекает период Программы, Министерство направляет в исполнительные органы Камчатского края, уполномоченные в соответствующей сфере деятельности, перечни подведомственных им государственных унитарных предприятий Камчатского края, а также хозяйственных обществ, осуществляющих деятельность в соответствующей сфере, и иного имущества, в целях оценки финансовой и социально-экономической целесообразности приватизации и включения в проект Программы.</w:t>
      </w:r>
    </w:p>
    <w:p>
      <w:pPr>
        <w:pStyle w:val="Normal"/>
        <w:widowControl w:val="false"/>
        <w:numPr>
          <w:ilvl w:val="0"/>
          <w:numId w:val="3"/>
        </w:numPr>
        <w:tabs>
          <w:tab w:val="clear" w:pos="708"/>
          <w:tab w:val="left" w:pos="1131" w:leader="none"/>
        </w:tabs>
        <w:spacing w:lineRule="auto" w:line="240" w:before="0" w:after="0"/>
        <w:ind w:left="0" w:right="0" w:firstLine="709"/>
        <w:jc w:val="both"/>
        <w:rPr>
          <w:highlight w:val="none"/>
          <w:shd w:fill="auto" w:val="clear"/>
        </w:rPr>
      </w:pPr>
      <w:r>
        <w:rPr>
          <w:rFonts w:ascii="Times New Roman" w:hAnsi="Times New Roman"/>
          <w:sz w:val="28"/>
          <w:shd w:fill="auto" w:val="clear"/>
        </w:rPr>
        <w:t>Исполнительные органы Камчатского края, уполномоченные в соответствующей сфере деятельности, не позднее 15 июля года, в котором истекает период Программы, представляют в Министерство предложения о приватизации государственного имущества Камчатского края с обоснованием целесообразности приватизации.</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Предложения о приватизации государственного имущества Камчатского края, подлежащего обременению предусмотренными </w:t>
      </w:r>
      <w:r>
        <w:rPr>
          <w:rFonts w:ascii="Times New Roman" w:hAnsi="Times New Roman"/>
          <w:sz w:val="28"/>
          <w:shd w:fill="auto" w:val="clear"/>
        </w:rPr>
        <w:t xml:space="preserve">федеральным законодательством </w:t>
      </w:r>
      <w:r>
        <w:rPr>
          <w:rFonts w:ascii="Times New Roman" w:hAnsi="Times New Roman"/>
          <w:sz w:val="28"/>
          <w:shd w:fill="auto" w:val="clear"/>
        </w:rPr>
        <w:t xml:space="preserve">ограничениями, </w:t>
      </w:r>
      <w:r>
        <w:rPr>
          <w:rFonts w:ascii="Times New Roman" w:hAnsi="Times New Roman"/>
          <w:sz w:val="28"/>
          <w:shd w:fill="auto" w:val="clear"/>
        </w:rPr>
        <w:t>в том числе, публичными сервитутами</w:t>
      </w:r>
      <w:r>
        <w:rPr>
          <w:rFonts w:ascii="Times New Roman" w:hAnsi="Times New Roman"/>
          <w:sz w:val="28"/>
          <w:shd w:fill="auto" w:val="clear"/>
        </w:rPr>
        <w:t>, предоставляются с указанием таких обременений.</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 xml:space="preserve">6. Министерство на основании поступивших предложений разрабатывает проект Программы на  плановый период. </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При наличии разногласий по проекту Программы Министерство проводит с исполнительными органами Камчатского края, уполномоченными в соответствующей сфере деятельности, согласительные совещания.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Не позднее 1 сентября года, в котором истекает период Программы,  проект Программы представляется Министерством Губернатору Камчатского края в соответствии с Положением 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7. Губернатор Камчатского края не позднее чем за три месяца до начала очередного финансового года вносит в Законодательное Собрание Камчатского края для утверждения прогнозный план (программу) приватизации государственного имущества Камчатского края на плановый период, составляющий от одного года до трех лет, за исключением случая отсутствия государственного имущества Камчатского края, планируемого к приватизации.</w:t>
      </w: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7"/>
        <w:gridCol w:w="483"/>
        <w:gridCol w:w="3544"/>
        <w:gridCol w:w="606"/>
        <w:gridCol w:w="1874"/>
        <w:gridCol w:w="488"/>
        <w:gridCol w:w="1686"/>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3"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544"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654" w:type="dxa"/>
            <w:gridSpan w:val="4"/>
            <w:tcBorders>
              <w:top w:val="nil"/>
              <w:left w:val="nil"/>
              <w:bottom w:val="nil"/>
              <w:right w:val="nil"/>
            </w:tcBorders>
          </w:tcPr>
          <w:p>
            <w:pPr>
              <w:pStyle w:val="Normal"/>
              <w:widowControl w:val="false"/>
              <w:suppressAutoHyphens w:val="true"/>
              <w:spacing w:lineRule="auto" w:line="240" w:before="0" w:after="0"/>
              <w:ind w:left="8079" w:right="0" w:hanging="807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Приложение 2 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3"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544"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654" w:type="dxa"/>
            <w:gridSpan w:val="4"/>
            <w:tcBorders>
              <w:top w:val="nil"/>
              <w:left w:val="nil"/>
              <w:bottom w:val="nil"/>
              <w:right w:val="nil"/>
            </w:tcBorders>
          </w:tcPr>
          <w:p>
            <w:pPr>
              <w:pStyle w:val="Normal"/>
              <w:widowControl w:val="false"/>
              <w:suppressAutoHyphens w:val="true"/>
              <w:spacing w:lineRule="auto" w:line="240" w:before="0" w:after="0"/>
              <w:ind w:left="8079" w:right="0" w:hanging="807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Правительства Камчатского края</w:t>
            </w:r>
          </w:p>
        </w:tc>
      </w:tr>
      <w:tr>
        <w:trPr/>
        <w:tc>
          <w:tcPr>
            <w:tcW w:w="47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3"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544"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60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w:t>
            </w:r>
          </w:p>
        </w:tc>
        <w:tc>
          <w:tcPr>
            <w:tcW w:w="1874"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highlight w:val="none"/>
                <w:shd w:fill="auto" w:val="clear"/>
              </w:rPr>
            </w:pPr>
            <w:r>
              <w:rPr>
                <w:rFonts w:ascii="Times New Roman" w:hAnsi="Times New Roman"/>
                <w:color w:val="FFFFFF" w:themeColor="background1"/>
                <w:spacing w:val="0"/>
                <w:kern w:val="0"/>
                <w:sz w:val="28"/>
                <w:szCs w:val="20"/>
                <w:shd w:fill="auto" w:val="clear"/>
              </w:rPr>
              <w:t>[R</w:t>
            </w:r>
            <w:r>
              <w:rPr>
                <w:rFonts w:ascii="Times New Roman" w:hAnsi="Times New Roman"/>
                <w:color w:val="FFFFFF" w:themeColor="background1"/>
                <w:spacing w:val="0"/>
                <w:kern w:val="0"/>
                <w:sz w:val="16"/>
                <w:szCs w:val="20"/>
                <w:shd w:fill="auto" w:val="clear"/>
              </w:rPr>
              <w:t>EGDATESTAMP]</w:t>
            </w:r>
          </w:p>
        </w:tc>
        <w:tc>
          <w:tcPr>
            <w:tcW w:w="488"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w:t>
            </w:r>
          </w:p>
        </w:tc>
        <w:tc>
          <w:tcPr>
            <w:tcW w:w="168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highlight w:val="none"/>
                <w:shd w:fill="auto" w:val="clear"/>
              </w:rPr>
            </w:pPr>
            <w:r>
              <w:rPr>
                <w:rFonts w:ascii="Times New Roman" w:hAnsi="Times New Roman"/>
                <w:color w:val="FFFFFF" w:themeColor="background1"/>
                <w:spacing w:val="0"/>
                <w:kern w:val="0"/>
                <w:sz w:val="28"/>
                <w:szCs w:val="20"/>
                <w:shd w:fill="auto" w:val="clear"/>
              </w:rPr>
              <w:t>[R</w:t>
            </w:r>
            <w:r>
              <w:rPr>
                <w:rFonts w:ascii="Times New Roman" w:hAnsi="Times New Roman"/>
                <w:color w:val="FFFFFF" w:themeColor="background1"/>
                <w:spacing w:val="0"/>
                <w:kern w:val="0"/>
                <w:sz w:val="16"/>
                <w:szCs w:val="20"/>
                <w:shd w:fill="auto" w:val="clear"/>
              </w:rPr>
              <w:t>EGNUMSTAMP]</w:t>
            </w:r>
          </w:p>
        </w:tc>
      </w:tr>
    </w:tbl>
    <w:p>
      <w:pPr>
        <w:pStyle w:val="Normal"/>
        <w:widowControl w:val="false"/>
        <w:spacing w:lineRule="auto" w:line="240"/>
        <w:jc w:val="both"/>
        <w:rPr>
          <w:rFonts w:ascii="Times New Roman" w:hAnsi="Times New Roman"/>
          <w:sz w:val="24"/>
          <w:highlight w:val="none"/>
          <w:shd w:fill="auto" w:val="clear"/>
        </w:rPr>
      </w:pPr>
      <w:r>
        <w:rPr>
          <w:rFonts w:ascii="Times New Roman" w:hAnsi="Times New Roman"/>
          <w:sz w:val="24"/>
          <w:shd w:fill="auto" w:val="clear"/>
        </w:rPr>
      </w:r>
    </w:p>
    <w:p>
      <w:pPr>
        <w:pStyle w:val="Normal"/>
        <w:widowControl w:val="false"/>
        <w:spacing w:lineRule="auto" w:line="240" w:before="0" w:after="0"/>
        <w:jc w:val="center"/>
        <w:rPr>
          <w:rFonts w:ascii="Times New Roman" w:hAnsi="Times New Roman"/>
          <w:sz w:val="28"/>
        </w:rPr>
      </w:pPr>
      <w:r>
        <w:rPr>
          <w:rFonts w:ascii="Times New Roman" w:hAnsi="Times New Roman"/>
          <w:sz w:val="28"/>
          <w:shd w:fill="auto" w:val="clear"/>
        </w:rPr>
        <w:t xml:space="preserve">Перечень утративших силу постановлений Правительства </w:t>
      </w:r>
    </w:p>
    <w:p>
      <w:pPr>
        <w:pStyle w:val="Normal"/>
        <w:spacing w:lineRule="auto" w:line="240" w:before="0" w:after="0"/>
        <w:jc w:val="center"/>
        <w:rPr>
          <w:rFonts w:ascii="Times New Roman" w:hAnsi="Times New Roman"/>
          <w:sz w:val="28"/>
        </w:rPr>
      </w:pPr>
      <w:r>
        <w:rPr>
          <w:rFonts w:ascii="Times New Roman" w:hAnsi="Times New Roman"/>
          <w:sz w:val="28"/>
          <w:shd w:fill="auto" w:val="clear"/>
        </w:rPr>
        <w:t xml:space="preserve">Камчатского края </w:t>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Признать утратившими силу:</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1) постановление Правительства Камчатского края от 29.04.2010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 </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 xml:space="preserve">2) постановление Правительства Камчатского края от 02.07.2010 № 301-П «О внесении изменений в Постановление правительства Камчатского края от 20.04.2010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 </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3) постановление Правительства Камчатского края от 12.10.2011 № 431-П «О внесении изменений в приложение к постановлению Правительства Камчатского края от 29.04.2010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4) постановление Правительства Камчатского края от 01.06.2016 № 210-П «О внесении изменений в приложение к постановлению Правительства Камчатского края от 29.04.2010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5) постановление Правительства Камчатского края от 11.04.2017 № 151-П</w:t>
        <w:br/>
        <w:t xml:space="preserve"> «О внесении изменений в приложение к постановлению Правительства Камчатского края от 29.04.2010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6) постановление Правительства Камчатского края от 25.07.2017 № 303-П «О внесении изменений в приложение к постановлению Правительства Камчатского края от 29.04.2010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w:t>
      </w:r>
    </w:p>
    <w:p>
      <w:pPr>
        <w:pStyle w:val="Normal"/>
        <w:widowControl w:val="false"/>
        <w:spacing w:lineRule="auto" w:line="240" w:before="0" w:after="0"/>
        <w:ind w:left="0" w:right="0" w:firstLine="709"/>
        <w:jc w:val="both"/>
        <w:rPr>
          <w:highlight w:val="none"/>
          <w:shd w:fill="auto" w:val="clear"/>
        </w:rPr>
      </w:pPr>
      <w:r>
        <w:rPr>
          <w:rFonts w:ascii="Times New Roman" w:hAnsi="Times New Roman"/>
          <w:sz w:val="28"/>
          <w:shd w:fill="auto" w:val="clear"/>
        </w:rPr>
        <w:t>7) постановление Правительства Камчатского края от 29.03.2019 № 149-П «О внесении изменения в приложение к постановлению Правительства Камчатского края от 29.04.2010 № 202-П «Об утверждении Порядка разработки прогнозного плана (программы) приватизации имущества, находящегося в государственной собственности Камчатского края».</w:t>
      </w:r>
    </w:p>
    <w:p>
      <w:pPr>
        <w:pStyle w:val="Normal"/>
        <w:spacing w:lineRule="auto" w:line="240" w:before="0" w:after="160"/>
        <w:ind w:left="0" w:right="0" w:firstLine="709"/>
        <w:rPr>
          <w:highlight w:val="none"/>
          <w:shd w:fill="auto" w:val="clear"/>
        </w:rPr>
      </w:pPr>
      <w:r>
        <w:rPr/>
      </w:r>
    </w:p>
    <w:sectPr>
      <w:headerReference w:type="default" r:id="rId3"/>
      <w:type w:val="nextPage"/>
      <w:pgSz w:w="11906" w:h="16838"/>
      <w:pgMar w:left="1418" w:right="851" w:gutter="0" w:header="1134" w:top="1739"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Segoe UI">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5</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8"/>
        <w:rFonts w:ascii="Times New Roman" w:hAnsi="Times New Roman"/>
      </w:rPr>
    </w:lvl>
    <w:lvl w:ilvl="1">
      <w:start w:val="1"/>
      <w:numFmt w:val="decimal"/>
      <w:lvlText w:val="%2."/>
      <w:lvlJc w:val="left"/>
      <w:pPr>
        <w:tabs>
          <w:tab w:val="num" w:pos="1080"/>
        </w:tabs>
        <w:ind w:left="1080" w:hanging="360"/>
      </w:pPr>
      <w:rPr>
        <w:sz w:val="28"/>
        <w:rFonts w:ascii="Times New Roman" w:hAnsi="Times New Roman"/>
      </w:rPr>
    </w:lvl>
    <w:lvl w:ilvl="2">
      <w:start w:val="1"/>
      <w:numFmt w:val="decimal"/>
      <w:lvlText w:val="%3."/>
      <w:lvlJc w:val="left"/>
      <w:pPr>
        <w:tabs>
          <w:tab w:val="num" w:pos="1440"/>
        </w:tabs>
        <w:ind w:left="1440" w:hanging="360"/>
      </w:pPr>
      <w:rPr>
        <w:sz w:val="28"/>
        <w:rFonts w:ascii="Times New Roman" w:hAnsi="Times New Roman"/>
      </w:rPr>
    </w:lvl>
    <w:lvl w:ilvl="3">
      <w:start w:val="1"/>
      <w:numFmt w:val="decimal"/>
      <w:lvlText w:val="%4."/>
      <w:lvlJc w:val="left"/>
      <w:pPr>
        <w:tabs>
          <w:tab w:val="num" w:pos="1800"/>
        </w:tabs>
        <w:ind w:left="1800" w:hanging="360"/>
      </w:pPr>
      <w:rPr>
        <w:sz w:val="28"/>
        <w:rFonts w:ascii="Times New Roman" w:hAnsi="Times New Roman"/>
      </w:rPr>
    </w:lvl>
    <w:lvl w:ilvl="4">
      <w:start w:val="1"/>
      <w:numFmt w:val="decimal"/>
      <w:lvlText w:val="%5."/>
      <w:lvlJc w:val="left"/>
      <w:pPr>
        <w:tabs>
          <w:tab w:val="num" w:pos="2160"/>
        </w:tabs>
        <w:ind w:left="2160" w:hanging="360"/>
      </w:pPr>
      <w:rPr>
        <w:sz w:val="28"/>
        <w:rFonts w:ascii="Times New Roman" w:hAnsi="Times New Roman"/>
      </w:rPr>
    </w:lvl>
    <w:lvl w:ilvl="5">
      <w:start w:val="1"/>
      <w:numFmt w:val="decimal"/>
      <w:lvlText w:val="%6."/>
      <w:lvlJc w:val="left"/>
      <w:pPr>
        <w:tabs>
          <w:tab w:val="num" w:pos="2520"/>
        </w:tabs>
        <w:ind w:left="2520" w:hanging="360"/>
      </w:pPr>
      <w:rPr>
        <w:sz w:val="28"/>
        <w:rFonts w:ascii="Times New Roman" w:hAnsi="Times New Roman"/>
      </w:rPr>
    </w:lvl>
    <w:lvl w:ilvl="6">
      <w:start w:val="1"/>
      <w:numFmt w:val="decimal"/>
      <w:lvlText w:val="%7."/>
      <w:lvlJc w:val="left"/>
      <w:pPr>
        <w:tabs>
          <w:tab w:val="num" w:pos="2880"/>
        </w:tabs>
        <w:ind w:left="2880" w:hanging="360"/>
      </w:pPr>
      <w:rPr>
        <w:sz w:val="28"/>
        <w:rFonts w:ascii="Times New Roman" w:hAnsi="Times New Roman"/>
      </w:rPr>
    </w:lvl>
    <w:lvl w:ilvl="7">
      <w:start w:val="1"/>
      <w:numFmt w:val="decimal"/>
      <w:lvlText w:val="%8."/>
      <w:lvlJc w:val="left"/>
      <w:pPr>
        <w:tabs>
          <w:tab w:val="num" w:pos="3240"/>
        </w:tabs>
        <w:ind w:left="3240" w:hanging="360"/>
      </w:pPr>
      <w:rPr>
        <w:sz w:val="28"/>
        <w:rFonts w:ascii="Times New Roman" w:hAnsi="Times New Roman"/>
      </w:rPr>
    </w:lvl>
    <w:lvl w:ilvl="8">
      <w:start w:val="1"/>
      <w:numFmt w:val="decimal"/>
      <w:lvlText w:val="%9."/>
      <w:lvlJc w:val="left"/>
      <w:pPr>
        <w:tabs>
          <w:tab w:val="num" w:pos="3600"/>
        </w:tabs>
        <w:ind w:left="3600" w:hanging="360"/>
      </w:pPr>
      <w:rPr>
        <w:sz w:val="28"/>
        <w:rFonts w:ascii="Times New Roman" w:hAnsi="Times New Roman"/>
      </w:rPr>
    </w:lvl>
  </w:abstractNum>
  <w:abstractNum w:abstractNumId="2">
    <w:lvl w:ilvl="0">
      <w:start w:val="1"/>
      <w:numFmt w:val="decimal"/>
      <w:lvlText w:val="%1."/>
      <w:lvlJc w:val="left"/>
      <w:pPr>
        <w:tabs>
          <w:tab w:val="num" w:pos="720"/>
        </w:tabs>
        <w:ind w:left="720" w:hanging="360"/>
      </w:pPr>
      <w:rPr>
        <w:sz w:val="28"/>
        <w:rFonts w:ascii="Times New Roman" w:hAnsi="Times New Roman"/>
      </w:rPr>
    </w:lvl>
    <w:lvl w:ilvl="1">
      <w:start w:val="1"/>
      <w:numFmt w:val="decimal"/>
      <w:lvlText w:val="%2."/>
      <w:lvlJc w:val="left"/>
      <w:pPr>
        <w:tabs>
          <w:tab w:val="num" w:pos="1080"/>
        </w:tabs>
        <w:ind w:left="1080" w:hanging="360"/>
      </w:pPr>
      <w:rPr>
        <w:sz w:val="28"/>
        <w:rFonts w:ascii="Times New Roman" w:hAnsi="Times New Roman"/>
      </w:rPr>
    </w:lvl>
    <w:lvl w:ilvl="2">
      <w:start w:val="1"/>
      <w:numFmt w:val="decimal"/>
      <w:lvlText w:val="%3."/>
      <w:lvlJc w:val="left"/>
      <w:pPr>
        <w:tabs>
          <w:tab w:val="num" w:pos="1440"/>
        </w:tabs>
        <w:ind w:left="1440" w:hanging="360"/>
      </w:pPr>
      <w:rPr>
        <w:sz w:val="28"/>
        <w:rFonts w:ascii="Times New Roman" w:hAnsi="Times New Roman"/>
      </w:rPr>
    </w:lvl>
    <w:lvl w:ilvl="3">
      <w:start w:val="1"/>
      <w:numFmt w:val="decimal"/>
      <w:lvlText w:val="%4."/>
      <w:lvlJc w:val="left"/>
      <w:pPr>
        <w:tabs>
          <w:tab w:val="num" w:pos="1800"/>
        </w:tabs>
        <w:ind w:left="1800" w:hanging="360"/>
      </w:pPr>
      <w:rPr>
        <w:sz w:val="28"/>
        <w:rFonts w:ascii="Times New Roman" w:hAnsi="Times New Roman"/>
      </w:rPr>
    </w:lvl>
    <w:lvl w:ilvl="4">
      <w:start w:val="1"/>
      <w:numFmt w:val="decimal"/>
      <w:lvlText w:val="%5."/>
      <w:lvlJc w:val="left"/>
      <w:pPr>
        <w:tabs>
          <w:tab w:val="num" w:pos="2160"/>
        </w:tabs>
        <w:ind w:left="2160" w:hanging="360"/>
      </w:pPr>
      <w:rPr>
        <w:sz w:val="28"/>
        <w:rFonts w:ascii="Times New Roman" w:hAnsi="Times New Roman"/>
      </w:rPr>
    </w:lvl>
    <w:lvl w:ilvl="5">
      <w:start w:val="1"/>
      <w:numFmt w:val="decimal"/>
      <w:lvlText w:val="%6."/>
      <w:lvlJc w:val="left"/>
      <w:pPr>
        <w:tabs>
          <w:tab w:val="num" w:pos="2520"/>
        </w:tabs>
        <w:ind w:left="2520" w:hanging="360"/>
      </w:pPr>
      <w:rPr>
        <w:sz w:val="28"/>
        <w:rFonts w:ascii="Times New Roman" w:hAnsi="Times New Roman"/>
      </w:rPr>
    </w:lvl>
    <w:lvl w:ilvl="6">
      <w:start w:val="1"/>
      <w:numFmt w:val="decimal"/>
      <w:lvlText w:val="%7."/>
      <w:lvlJc w:val="left"/>
      <w:pPr>
        <w:tabs>
          <w:tab w:val="num" w:pos="2880"/>
        </w:tabs>
        <w:ind w:left="2880" w:hanging="360"/>
      </w:pPr>
      <w:rPr>
        <w:sz w:val="28"/>
        <w:rFonts w:ascii="Times New Roman" w:hAnsi="Times New Roman"/>
      </w:rPr>
    </w:lvl>
    <w:lvl w:ilvl="7">
      <w:start w:val="1"/>
      <w:numFmt w:val="decimal"/>
      <w:lvlText w:val="%8."/>
      <w:lvlJc w:val="left"/>
      <w:pPr>
        <w:tabs>
          <w:tab w:val="num" w:pos="3240"/>
        </w:tabs>
        <w:ind w:left="3240" w:hanging="360"/>
      </w:pPr>
      <w:rPr>
        <w:sz w:val="28"/>
        <w:rFonts w:ascii="Times New Roman" w:hAnsi="Times New Roman"/>
      </w:rPr>
    </w:lvl>
    <w:lvl w:ilvl="8">
      <w:start w:val="1"/>
      <w:numFmt w:val="decimal"/>
      <w:lvlText w:val="%9."/>
      <w:lvlJc w:val="left"/>
      <w:pPr>
        <w:tabs>
          <w:tab w:val="num" w:pos="3600"/>
        </w:tabs>
        <w:ind w:left="3600" w:hanging="360"/>
      </w:pPr>
      <w:rPr>
        <w:sz w:val="28"/>
        <w:rFonts w:ascii="Times New Roman" w:hAnsi="Times New Roman"/>
      </w:rPr>
    </w:lvl>
  </w:abstractNum>
  <w:abstractNum w:abstractNumId="3">
    <w:lvl w:ilvl="0">
      <w:start w:val="5"/>
      <w:numFmt w:val="decimal"/>
      <w:lvlText w:val="%1."/>
      <w:lvlJc w:val="left"/>
      <w:pPr>
        <w:tabs>
          <w:tab w:val="num" w:pos="720"/>
        </w:tabs>
        <w:ind w:left="720" w:hanging="360"/>
      </w:pPr>
      <w:rPr>
        <w:sz w:val="28"/>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40" w:before="0" w:after="0"/>
      <w:ind w:left="0" w:right="0" w:hanging="0"/>
      <w:jc w:val="left"/>
      <w:outlineLvl w:val="0"/>
    </w:pPr>
    <w:rPr>
      <w:rFonts w:ascii="XO Thames" w:hAnsi="XO Thames" w:eastAsia="Tahoma" w:cs="Lohit Devanagari"/>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64" w:before="120" w:after="120"/>
      <w:ind w:left="0" w:right="0" w:hanging="0"/>
      <w:jc w:val="both"/>
      <w:outlineLvl w:val="1"/>
    </w:pPr>
    <w:rPr>
      <w:rFonts w:ascii="XO Thames" w:hAnsi="XO Thames" w:eastAsia="Tahoma" w:cs="Lohit Devanagari"/>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40" w:before="0" w:after="0"/>
      <w:ind w:left="0" w:right="0" w:hanging="0"/>
      <w:jc w:val="left"/>
      <w:outlineLvl w:val="2"/>
    </w:pPr>
    <w:rPr>
      <w:rFonts w:ascii="XO Thames" w:hAnsi="XO Thames" w:eastAsia="Tahoma" w:cs="Lohit Devanagari"/>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40" w:before="0" w:after="0"/>
      <w:ind w:left="0" w:right="0" w:hanging="0"/>
      <w:jc w:val="left"/>
      <w:outlineLvl w:val="3"/>
    </w:pPr>
    <w:rPr>
      <w:rFonts w:ascii="XO Thames" w:hAnsi="XO Thames" w:eastAsia="Tahoma" w:cs="Lohit Devanagari"/>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ind w:left="0" w:right="0" w:hanging="0"/>
      <w:jc w:val="both"/>
      <w:outlineLvl w:val="4"/>
    </w:pPr>
    <w:rPr>
      <w:rFonts w:ascii="XO Thames" w:hAnsi="XO Thames" w:eastAsia="Tahoma" w:cs="Lohit Devanagari"/>
      <w:b/>
      <w:color w:val="000000"/>
      <w:spacing w:val="0"/>
      <w:kern w:val="0"/>
      <w:sz w:val="22"/>
      <w:szCs w:val="20"/>
      <w:lang w:val="ru-RU" w:eastAsia="zh-CN" w:bidi="hi-IN"/>
    </w:rPr>
  </w:style>
  <w:style w:type="character" w:styleId="Style9">
    <w:name w:val="Заголовок Знак"/>
    <w:link w:val="Style22"/>
    <w:qFormat/>
    <w:rPr>
      <w:rFonts w:ascii="Open Sans" w:hAnsi="Open Sans"/>
      <w:sz w:val="28"/>
    </w:rPr>
  </w:style>
  <w:style w:type="character" w:styleId="Textbody">
    <w:name w:val="Text body"/>
    <w:link w:val="Textbody1"/>
    <w:qFormat/>
    <w:rPr>
      <w:rFonts w:ascii="Calibri" w:hAnsi="Calibri" w:asciiTheme="minorAscii" w:hAnsiTheme="minorHAnsi"/>
      <w:color w:val="000000"/>
      <w:sz w:val="22"/>
    </w:rPr>
  </w:style>
  <w:style w:type="character" w:styleId="Contents2">
    <w:name w:val="Contents 2"/>
    <w:link w:val="Contents21"/>
    <w:qFormat/>
    <w:rPr>
      <w:rFonts w:ascii="XO Thames" w:hAnsi="XO Thames"/>
      <w:color w:val="000000"/>
      <w:sz w:val="28"/>
    </w:rPr>
  </w:style>
  <w:style w:type="character" w:styleId="Contents4">
    <w:name w:val="Contents 4"/>
    <w:link w:val="Contents41"/>
    <w:qFormat/>
    <w:rPr>
      <w:rFonts w:ascii="XO Thames" w:hAnsi="XO Thames"/>
      <w:color w:val="000000"/>
      <w:sz w:val="28"/>
    </w:rPr>
  </w:style>
  <w:style w:type="character" w:styleId="Contents6">
    <w:name w:val="Contents 6"/>
    <w:link w:val="Contents61"/>
    <w:qFormat/>
    <w:rPr>
      <w:rFonts w:ascii="XO Thames" w:hAnsi="XO Thames"/>
      <w:color w:val="000000"/>
      <w:sz w:val="28"/>
    </w:rPr>
  </w:style>
  <w:style w:type="character" w:styleId="Contents7">
    <w:name w:val="Contents 7"/>
    <w:link w:val="Contents71"/>
    <w:qFormat/>
    <w:rPr>
      <w:rFonts w:ascii="XO Thames" w:hAnsi="XO Thames"/>
      <w:color w:val="000000"/>
      <w:sz w:val="28"/>
    </w:rPr>
  </w:style>
  <w:style w:type="character" w:styleId="BalloonText">
    <w:name w:val="Balloon Text"/>
    <w:link w:val="BalloonText1"/>
    <w:qFormat/>
    <w:rPr>
      <w:rFonts w:ascii="Segoe UI" w:hAnsi="Segoe UI"/>
      <w:sz w:val="18"/>
    </w:rPr>
  </w:style>
  <w:style w:type="character" w:styleId="Style10">
    <w:name w:val="Указатель"/>
    <w:link w:val="Style21"/>
    <w:qFormat/>
    <w:rPr/>
  </w:style>
  <w:style w:type="character" w:styleId="Heading3">
    <w:name w:val="Heading 3"/>
    <w:qFormat/>
    <w:rPr>
      <w:rFonts w:ascii="XO Thames" w:hAnsi="XO Thames"/>
      <w:b/>
      <w:color w:val="000000"/>
      <w:sz w:val="26"/>
    </w:rPr>
  </w:style>
  <w:style w:type="character" w:styleId="DefaultParagraphFont">
    <w:name w:val="Default Paragraph Font"/>
    <w:link w:val="DefaultParagraphFont1"/>
    <w:qFormat/>
    <w:rPr/>
  </w:style>
  <w:style w:type="character" w:styleId="11">
    <w:name w:val="Название объекта1"/>
    <w:link w:val="110"/>
    <w:qFormat/>
    <w:rPr>
      <w:i/>
      <w:sz w:val="24"/>
    </w:rPr>
  </w:style>
  <w:style w:type="character" w:styleId="31">
    <w:name w:val="Заголовок 31"/>
    <w:link w:val="311"/>
    <w:qFormat/>
    <w:rPr>
      <w:rFonts w:ascii="XO Thames" w:hAnsi="XO Thames"/>
      <w:b/>
      <w:color w:val="000000"/>
      <w:spacing w:val="0"/>
      <w:sz w:val="26"/>
    </w:rPr>
  </w:style>
  <w:style w:type="character" w:styleId="12">
    <w:name w:val="Список1"/>
    <w:basedOn w:val="Textbody"/>
    <w:link w:val="112"/>
    <w:qFormat/>
    <w:rPr/>
  </w:style>
  <w:style w:type="character" w:styleId="Header">
    <w:name w:val="Header"/>
    <w:qFormat/>
    <w:rPr>
      <w:rFonts w:ascii="Calibri" w:hAnsi="Calibri" w:asciiTheme="minorAscii" w:hAnsiTheme="minorHAnsi"/>
      <w:color w:val="000000"/>
      <w:sz w:val="22"/>
    </w:rPr>
  </w:style>
  <w:style w:type="character" w:styleId="21">
    <w:name w:val="Основной шрифт абзаца2"/>
    <w:link w:val="23"/>
    <w:qFormat/>
    <w:rPr>
      <w:rFonts w:ascii="Calibri" w:hAnsi="Calibri" w:asciiTheme="minorAscii" w:hAnsiTheme="minorHAnsi"/>
      <w:color w:val="000000"/>
      <w:sz w:val="22"/>
    </w:rPr>
  </w:style>
  <w:style w:type="character" w:styleId="Contents3">
    <w:name w:val="Contents 3"/>
    <w:link w:val="Contents31"/>
    <w:qFormat/>
    <w:rPr>
      <w:rFonts w:ascii="XO Thames" w:hAnsi="XO Thames"/>
      <w:color w:val="000000"/>
      <w:sz w:val="28"/>
    </w:rPr>
  </w:style>
  <w:style w:type="character" w:styleId="Style11">
    <w:name w:val="Символ нумерации"/>
    <w:link w:val="Style25"/>
    <w:qFormat/>
    <w:rPr>
      <w:rFonts w:ascii="Times New Roman" w:hAnsi="Times New Roman"/>
      <w:color w:val="000000"/>
      <w:sz w:val="28"/>
    </w:rPr>
  </w:style>
  <w:style w:type="character" w:styleId="Style12">
    <w:name w:val="Колонтитул"/>
    <w:link w:val="Style23"/>
    <w:qFormat/>
    <w:rPr>
      <w:rFonts w:ascii="XO Thames" w:hAnsi="XO Thames"/>
      <w:color w:val="000000"/>
      <w:sz w:val="20"/>
    </w:rPr>
  </w:style>
  <w:style w:type="character" w:styleId="Contents9">
    <w:name w:val="Contents 9"/>
    <w:link w:val="Contents91"/>
    <w:qFormat/>
    <w:rPr>
      <w:rFonts w:ascii="XO Thames" w:hAnsi="XO Thames"/>
      <w:color w:val="000000"/>
      <w:sz w:val="28"/>
    </w:rPr>
  </w:style>
  <w:style w:type="character" w:styleId="211">
    <w:name w:val="Заголовок 21"/>
    <w:link w:val="212"/>
    <w:qFormat/>
    <w:rPr>
      <w:rFonts w:ascii="XO Thames" w:hAnsi="XO Thames"/>
      <w:b/>
      <w:color w:val="000000"/>
      <w:spacing w:val="0"/>
      <w:sz w:val="28"/>
    </w:rPr>
  </w:style>
  <w:style w:type="character" w:styleId="Style13">
    <w:name w:val="Заголовок"/>
    <w:link w:val="Style17"/>
    <w:qFormat/>
    <w:rPr>
      <w:rFonts w:ascii="Open Sans" w:hAnsi="Open Sans"/>
      <w:sz w:val="28"/>
    </w:rPr>
  </w:style>
  <w:style w:type="character" w:styleId="13">
    <w:name w:val="Подзаголовок1"/>
    <w:link w:val="113"/>
    <w:qFormat/>
    <w:rPr>
      <w:rFonts w:ascii="XO Thames" w:hAnsi="XO Thames"/>
      <w:i/>
      <w:sz w:val="24"/>
    </w:rPr>
  </w:style>
  <w:style w:type="character" w:styleId="14">
    <w:name w:val="Верхний колонтитул1"/>
    <w:link w:val="114"/>
    <w:qFormat/>
    <w:rPr>
      <w:rFonts w:ascii="Calibri" w:hAnsi="Calibri" w:asciiTheme="minorAscii" w:hAnsiTheme="minorHAnsi"/>
      <w:color w:val="000000"/>
      <w:spacing w:val="0"/>
      <w:sz w:val="22"/>
    </w:rPr>
  </w:style>
  <w:style w:type="character" w:styleId="Heading5">
    <w:name w:val="Heading 5"/>
    <w:qFormat/>
    <w:rPr>
      <w:rFonts w:ascii="XO Thames" w:hAnsi="XO Thames"/>
      <w:b/>
      <w:color w:val="000000"/>
      <w:sz w:val="22"/>
    </w:rPr>
  </w:style>
  <w:style w:type="character" w:styleId="Style14">
    <w:name w:val="Верхний колонтитул Знак"/>
    <w:basedOn w:val="DefaultParagraphFont"/>
    <w:link w:val="Style26"/>
    <w:qFormat/>
    <w:rPr/>
  </w:style>
  <w:style w:type="character" w:styleId="Caption">
    <w:name w:val="Caption"/>
    <w:qFormat/>
    <w:rPr>
      <w:i/>
      <w:sz w:val="24"/>
    </w:rPr>
  </w:style>
  <w:style w:type="character" w:styleId="Heading1">
    <w:name w:val="Heading 1"/>
    <w:qFormat/>
    <w:rPr>
      <w:rFonts w:ascii="XO Thames" w:hAnsi="XO Thames"/>
      <w:b/>
      <w:color w:val="000000"/>
      <w:sz w:val="32"/>
    </w:rPr>
  </w:style>
  <w:style w:type="character" w:styleId="Internetlink">
    <w:name w:val="Internet link"/>
    <w:link w:val="Internetlink1"/>
    <w:qFormat/>
    <w:rPr>
      <w:rFonts w:ascii="Calibri" w:hAnsi="Calibri"/>
      <w:color w:val="0000FF"/>
      <w:sz w:val="22"/>
      <w:u w:val="single"/>
    </w:rPr>
  </w:style>
  <w:style w:type="character" w:styleId="Contents5">
    <w:name w:val="Contents 5"/>
    <w:link w:val="Contents51"/>
    <w:qFormat/>
    <w:rPr>
      <w:rFonts w:ascii="XO Thames" w:hAnsi="XO Thames"/>
      <w:color w:val="000000"/>
      <w:sz w:val="28"/>
    </w:rPr>
  </w:style>
  <w:style w:type="character" w:styleId="111">
    <w:name w:val="Заголовок 11"/>
    <w:link w:val="115"/>
    <w:qFormat/>
    <w:rPr>
      <w:rFonts w:ascii="XO Thames" w:hAnsi="XO Thames"/>
      <w:b/>
      <w:color w:val="000000"/>
      <w:spacing w:val="0"/>
      <w:sz w:val="32"/>
    </w:rPr>
  </w:style>
  <w:style w:type="character" w:styleId="Style15">
    <w:name w:val="Hyperlink"/>
    <w:rPr>
      <w:color w:val="0000FF"/>
      <w:u w:val="single"/>
    </w:rPr>
  </w:style>
  <w:style w:type="character" w:styleId="Footnote">
    <w:name w:val="Footnote"/>
    <w:link w:val="Footnote1"/>
    <w:qFormat/>
    <w:rPr>
      <w:rFonts w:ascii="XO Thames" w:hAnsi="XO Thames"/>
      <w:color w:val="000000"/>
      <w:sz w:val="22"/>
    </w:rPr>
  </w:style>
  <w:style w:type="character" w:styleId="51">
    <w:name w:val="Заголовок 51"/>
    <w:link w:val="511"/>
    <w:qFormat/>
    <w:rPr>
      <w:rFonts w:ascii="XO Thames" w:hAnsi="XO Thames"/>
      <w:b/>
      <w:color w:val="000000"/>
      <w:spacing w:val="0"/>
      <w:sz w:val="22"/>
    </w:rPr>
  </w:style>
  <w:style w:type="character" w:styleId="Contents1">
    <w:name w:val="Contents 1"/>
    <w:link w:val="Contents11"/>
    <w:qFormat/>
    <w:rPr>
      <w:rFonts w:ascii="XO Thames" w:hAnsi="XO Thames"/>
      <w:b/>
      <w:color w:val="000000"/>
      <w:sz w:val="28"/>
    </w:rPr>
  </w:style>
  <w:style w:type="character" w:styleId="HeaderandFooter">
    <w:name w:val="Header and Footer"/>
    <w:qFormat/>
    <w:rPr>
      <w:rFonts w:ascii="XO Thames" w:hAnsi="XO Thames"/>
      <w:sz w:val="20"/>
    </w:rPr>
  </w:style>
  <w:style w:type="character" w:styleId="15">
    <w:name w:val="Гиперссылка1"/>
    <w:basedOn w:val="19"/>
    <w:link w:val="117"/>
    <w:qFormat/>
    <w:rPr>
      <w:color w:val="0563C1" w:themeColor="hyperlink"/>
      <w:u w:val="single"/>
    </w:rPr>
  </w:style>
  <w:style w:type="character" w:styleId="List">
    <w:name w:val="List"/>
    <w:basedOn w:val="Textbody"/>
    <w:qFormat/>
    <w:rPr/>
  </w:style>
  <w:style w:type="character" w:styleId="16">
    <w:name w:val="Обычный1"/>
    <w:link w:val="118"/>
    <w:qFormat/>
    <w:rPr>
      <w:rFonts w:ascii="Calibri" w:hAnsi="Calibri" w:asciiTheme="minorAscii" w:hAnsiTheme="minorHAnsi"/>
      <w:color w:val="000000"/>
      <w:sz w:val="22"/>
    </w:rPr>
  </w:style>
  <w:style w:type="character" w:styleId="Style16">
    <w:name w:val="Содержимое врезки"/>
    <w:link w:val="Style27"/>
    <w:qFormat/>
    <w:rPr/>
  </w:style>
  <w:style w:type="character" w:styleId="Caption1">
    <w:name w:val="caption"/>
    <w:link w:val="Caption2"/>
    <w:qFormat/>
    <w:rPr>
      <w:rFonts w:ascii="Calibri" w:hAnsi="Calibri" w:asciiTheme="minorAscii" w:hAnsiTheme="minorHAnsi"/>
      <w:i/>
      <w:color w:val="000000"/>
      <w:sz w:val="24"/>
    </w:rPr>
  </w:style>
  <w:style w:type="character" w:styleId="Contents8">
    <w:name w:val="Contents 8"/>
    <w:link w:val="Contents81"/>
    <w:qFormat/>
    <w:rPr>
      <w:rFonts w:ascii="XO Thames" w:hAnsi="XO Thames"/>
      <w:color w:val="000000"/>
      <w:sz w:val="28"/>
    </w:rPr>
  </w:style>
  <w:style w:type="character" w:styleId="Footer">
    <w:name w:val="Footer"/>
    <w:qFormat/>
    <w:rPr>
      <w:rFonts w:ascii="Times New Roman" w:hAnsi="Times New Roman"/>
      <w:color w:val="000000"/>
      <w:sz w:val="28"/>
    </w:rPr>
  </w:style>
  <w:style w:type="character" w:styleId="17">
    <w:name w:val="Заголовок1"/>
    <w:link w:val="119"/>
    <w:qFormat/>
    <w:rPr>
      <w:rFonts w:ascii="XO Thames" w:hAnsi="XO Thames"/>
      <w:b/>
      <w:caps/>
      <w:sz w:val="40"/>
    </w:rPr>
  </w:style>
  <w:style w:type="character" w:styleId="Indexheading">
    <w:name w:val="index heading"/>
    <w:link w:val="Indexheading1"/>
    <w:qFormat/>
    <w:rPr/>
  </w:style>
  <w:style w:type="character" w:styleId="41">
    <w:name w:val="Заголовок 41"/>
    <w:link w:val="411"/>
    <w:qFormat/>
    <w:rPr>
      <w:rFonts w:ascii="XO Thames" w:hAnsi="XO Thames"/>
      <w:b/>
      <w:color w:val="000000"/>
      <w:spacing w:val="0"/>
      <w:sz w:val="24"/>
    </w:rPr>
  </w:style>
  <w:style w:type="character" w:styleId="PlainText">
    <w:name w:val="Plain Text"/>
    <w:link w:val="PlainText1"/>
    <w:qFormat/>
    <w:rPr>
      <w:rFonts w:ascii="Calibri" w:hAnsi="Calibri"/>
    </w:rPr>
  </w:style>
  <w:style w:type="character" w:styleId="18">
    <w:name w:val="Нижний колонтитул1"/>
    <w:link w:val="120"/>
    <w:qFormat/>
    <w:rPr>
      <w:rFonts w:ascii="Times New Roman" w:hAnsi="Times New Roman"/>
      <w:color w:val="000000"/>
      <w:spacing w:val="0"/>
      <w:sz w:val="28"/>
    </w:rPr>
  </w:style>
  <w:style w:type="character" w:styleId="Subtitle">
    <w:name w:val="Subtitle"/>
    <w:qFormat/>
    <w:rPr>
      <w:rFonts w:ascii="XO Thames" w:hAnsi="XO Thames"/>
      <w:i/>
      <w:color w:val="000000"/>
      <w:sz w:val="24"/>
    </w:rPr>
  </w:style>
  <w:style w:type="character" w:styleId="Title">
    <w:name w:val="Title"/>
    <w:qFormat/>
    <w:rPr>
      <w:rFonts w:ascii="XO Thames" w:hAnsi="XO Thames"/>
      <w:b/>
      <w:caps/>
      <w:color w:val="000000"/>
      <w:sz w:val="40"/>
    </w:rPr>
  </w:style>
  <w:style w:type="character" w:styleId="Heading4">
    <w:name w:val="Heading 4"/>
    <w:qFormat/>
    <w:rPr>
      <w:rFonts w:ascii="XO Thames" w:hAnsi="XO Thames"/>
      <w:b/>
      <w:color w:val="000000"/>
      <w:sz w:val="24"/>
    </w:rPr>
  </w:style>
  <w:style w:type="character" w:styleId="Heading2">
    <w:name w:val="Heading 2"/>
    <w:qFormat/>
    <w:rPr>
      <w:rFonts w:ascii="XO Thames" w:hAnsi="XO Thames"/>
      <w:b/>
      <w:color w:val="000000"/>
      <w:sz w:val="28"/>
    </w:rPr>
  </w:style>
  <w:style w:type="character" w:styleId="19">
    <w:name w:val="Основной шрифт абзаца1"/>
    <w:link w:val="121"/>
    <w:qFormat/>
    <w:rPr>
      <w:rFonts w:ascii="Calibri" w:hAnsi="Calibri" w:asciiTheme="minorAscii" w:hAnsiTheme="minorHAnsi"/>
      <w:color w:val="000000"/>
      <w:sz w:val="22"/>
    </w:rPr>
  </w:style>
  <w:style w:type="paragraph" w:styleId="Style17">
    <w:name w:val="Заголовок"/>
    <w:basedOn w:val="Normal"/>
    <w:next w:val="Style18"/>
    <w:link w:val="Style13"/>
    <w:qFormat/>
    <w:pPr>
      <w:keepNext w:val="true"/>
      <w:spacing w:before="240" w:after="120"/>
    </w:pPr>
    <w:rPr>
      <w:rFonts w:ascii="Open Sans" w:hAnsi="Open Sans"/>
      <w:sz w:val="28"/>
    </w:rPr>
  </w:style>
  <w:style w:type="paragraph" w:styleId="Style18">
    <w:name w:val="Body Text"/>
    <w:basedOn w:val="Normal"/>
    <w:pPr>
      <w:spacing w:lineRule="auto" w:line="276" w:before="0" w:after="140"/>
    </w:pPr>
    <w:rPr/>
  </w:style>
  <w:style w:type="paragraph" w:styleId="Style19">
    <w:name w:val="List"/>
    <w:basedOn w:val="Textbody1"/>
    <w:pPr/>
    <w:rPr/>
  </w:style>
  <w:style w:type="paragraph" w:styleId="Style20">
    <w:name w:val="Caption"/>
    <w:basedOn w:val="Normal"/>
    <w:qFormat/>
    <w:pPr>
      <w:spacing w:before="120" w:after="120"/>
    </w:pPr>
    <w:rPr>
      <w:i/>
      <w:sz w:val="24"/>
    </w:rPr>
  </w:style>
  <w:style w:type="paragraph" w:styleId="Style21">
    <w:name w:val="Указатель"/>
    <w:basedOn w:val="Normal"/>
    <w:link w:val="Style10"/>
    <w:qFormat/>
    <w:pPr/>
    <w:rPr/>
  </w:style>
  <w:style w:type="paragraph" w:styleId="Style22">
    <w:name w:val="Заголовок Знак"/>
    <w:link w:val="Style9"/>
    <w:qFormat/>
    <w:pPr>
      <w:widowControl/>
      <w:suppressAutoHyphens w:val="true"/>
      <w:bidi w:val="0"/>
      <w:spacing w:lineRule="auto" w:line="240" w:before="0" w:after="0"/>
      <w:ind w:left="0" w:right="0" w:hanging="0"/>
      <w:jc w:val="left"/>
    </w:pPr>
    <w:rPr>
      <w:rFonts w:ascii="Open Sans" w:hAnsi="Open Sans" w:eastAsia="Tahoma" w:cs="Lohit Devanagari"/>
      <w:color w:val="000000"/>
      <w:spacing w:val="0"/>
      <w:kern w:val="0"/>
      <w:sz w:val="28"/>
      <w:szCs w:val="20"/>
      <w:lang w:val="ru-RU" w:eastAsia="zh-CN" w:bidi="hi-IN"/>
    </w:rPr>
  </w:style>
  <w:style w:type="paragraph" w:styleId="22">
    <w:name w:val="TOC 2"/>
    <w:next w:val="Normal"/>
    <w:uiPriority w:val="39"/>
    <w:pPr>
      <w:widowControl/>
      <w:suppressAutoHyphens w:val="true"/>
      <w:bidi w:val="0"/>
      <w:spacing w:lineRule="auto" w:line="264" w:before="0" w:after="160"/>
      <w:ind w:left="200" w:right="0" w:hanging="0"/>
      <w:jc w:val="left"/>
    </w:pPr>
    <w:rPr>
      <w:rFonts w:ascii="XO Thames" w:hAnsi="XO Thames" w:eastAsia="Tahoma" w:cs="Lohit Devanagari"/>
      <w:color w:val="000000"/>
      <w:spacing w:val="0"/>
      <w:kern w:val="0"/>
      <w:sz w:val="28"/>
      <w:szCs w:val="20"/>
      <w:lang w:val="ru-RU" w:eastAsia="zh-CN" w:bidi="hi-IN"/>
    </w:rPr>
  </w:style>
  <w:style w:type="paragraph" w:styleId="42">
    <w:name w:val="TOC 4"/>
    <w:next w:val="Normal"/>
    <w:uiPriority w:val="39"/>
    <w:pPr>
      <w:widowControl/>
      <w:suppressAutoHyphens w:val="true"/>
      <w:bidi w:val="0"/>
      <w:spacing w:lineRule="auto" w:line="264" w:before="0" w:after="160"/>
      <w:ind w:left="600" w:right="0" w:hanging="0"/>
      <w:jc w:val="left"/>
    </w:pPr>
    <w:rPr>
      <w:rFonts w:ascii="XO Thames" w:hAnsi="XO Thames" w:eastAsia="Tahoma" w:cs="Lohit Devanagari"/>
      <w:color w:val="000000"/>
      <w:spacing w:val="0"/>
      <w:kern w:val="0"/>
      <w:sz w:val="28"/>
      <w:szCs w:val="20"/>
      <w:lang w:val="ru-RU" w:eastAsia="zh-CN" w:bidi="hi-IN"/>
    </w:rPr>
  </w:style>
  <w:style w:type="paragraph" w:styleId="Contents41">
    <w:name w:val="Contents 4"/>
    <w:link w:val="Contents4"/>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64" w:before="0" w:after="160"/>
      <w:ind w:left="1000" w:right="0" w:hanging="0"/>
      <w:jc w:val="left"/>
    </w:pPr>
    <w:rPr>
      <w:rFonts w:ascii="XO Thames" w:hAnsi="XO Thames" w:eastAsia="Tahoma" w:cs="Lohit Devanagari"/>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64" w:before="0" w:after="160"/>
      <w:ind w:left="1200" w:right="0" w:hanging="0"/>
      <w:jc w:val="left"/>
    </w:pPr>
    <w:rPr>
      <w:rFonts w:ascii="XO Thames" w:hAnsi="XO Thames" w:eastAsia="Tahoma" w:cs="Lohit Devanagari"/>
      <w:color w:val="000000"/>
      <w:spacing w:val="0"/>
      <w:kern w:val="0"/>
      <w:sz w:val="28"/>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DefaultParagraphFont1">
    <w:name w:val="Default Paragraph Font"/>
    <w:link w:val="DefaultParagraphFont"/>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0">
    <w:name w:val="Название объекта1"/>
    <w:link w:val="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311">
    <w:name w:val="Заголовок 31"/>
    <w:link w:val="3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112">
    <w:name w:val="Список1"/>
    <w:basedOn w:val="Textbody1"/>
    <w:link w:val="12"/>
    <w:qFormat/>
    <w:pPr/>
    <w:rPr/>
  </w:style>
  <w:style w:type="paragraph" w:styleId="Style23">
    <w:name w:val="Колонтитул"/>
    <w:link w:val="Style1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Style24">
    <w:name w:val="Header"/>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3">
    <w:name w:val="Основной шрифт абзаца2"/>
    <w:link w:val="21"/>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31">
    <w:name w:val="Contents 3"/>
    <w:link w:val="Contents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5">
    <w:name w:val="Символ нумерации"/>
    <w:link w:val="Style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91">
    <w:name w:val="Contents 9"/>
    <w:link w:val="Contents9"/>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32">
    <w:name w:val="TOC 3"/>
    <w:next w:val="Normal"/>
    <w:uiPriority w:val="39"/>
    <w:pPr>
      <w:widowControl/>
      <w:suppressAutoHyphens w:val="true"/>
      <w:bidi w:val="0"/>
      <w:spacing w:lineRule="auto" w:line="264" w:before="0" w:after="160"/>
      <w:ind w:left="400" w:right="0" w:hanging="0"/>
      <w:jc w:val="left"/>
    </w:pPr>
    <w:rPr>
      <w:rFonts w:ascii="XO Thames" w:hAnsi="XO Thames" w:eastAsia="Tahoma" w:cs="Lohit Devanagari"/>
      <w:color w:val="000000"/>
      <w:spacing w:val="0"/>
      <w:kern w:val="0"/>
      <w:sz w:val="28"/>
      <w:szCs w:val="20"/>
      <w:lang w:val="ru-RU" w:eastAsia="zh-CN" w:bidi="hi-IN"/>
    </w:rPr>
  </w:style>
  <w:style w:type="paragraph" w:styleId="212">
    <w:name w:val="Заголовок 21"/>
    <w:link w:val="2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21">
    <w:name w:val="Contents 2"/>
    <w:link w:val="Contents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3">
    <w:name w:val="Подзаголовок1"/>
    <w:link w:val="13"/>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114">
    <w:name w:val="Верхний колонтитул1"/>
    <w:link w:val="14"/>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6">
    <w:name w:val="Верхний колонтитул Знак"/>
    <w:basedOn w:val="DefaultParagraphFont1"/>
    <w:link w:val="Style14"/>
    <w:qFormat/>
    <w:pPr/>
    <w:rPr/>
  </w:style>
  <w:style w:type="paragraph" w:styleId="Internetlink1">
    <w:name w:val="Internet link"/>
    <w:link w:val="Internetlink"/>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Contents51">
    <w:name w:val="Contents 5"/>
    <w:link w:val="Contents5"/>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5">
    <w:name w:val="Заголовок 11"/>
    <w:link w:val="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Footnote1">
    <w:name w:val="Footnote"/>
    <w:link w:val="Footnote"/>
    <w:qFormat/>
    <w:pPr>
      <w:widowControl/>
      <w:suppressAutoHyphens w:val="true"/>
      <w:bidi w:val="0"/>
      <w:spacing w:lineRule="auto" w:line="264" w:before="0" w:after="16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511">
    <w:name w:val="Заголовок 51"/>
    <w:link w:val="5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116">
    <w:name w:val="TOC 1"/>
    <w:next w:val="Normal"/>
    <w:uiPriority w:val="39"/>
    <w:pPr>
      <w:widowControl/>
      <w:suppressAutoHyphens w:val="true"/>
      <w:bidi w:val="0"/>
      <w:spacing w:lineRule="auto" w:line="264" w:before="0" w:after="16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17">
    <w:name w:val="Гиперссылка1"/>
    <w:basedOn w:val="121"/>
    <w:link w:val="15"/>
    <w:qFormat/>
    <w:pPr/>
    <w:rPr>
      <w:color w:val="0563C1" w:themeColor="hyperlink"/>
      <w:u w:val="single"/>
    </w:rPr>
  </w:style>
  <w:style w:type="paragraph" w:styleId="9">
    <w:name w:val="TOC 9"/>
    <w:next w:val="Normal"/>
    <w:uiPriority w:val="39"/>
    <w:pPr>
      <w:widowControl/>
      <w:suppressAutoHyphens w:val="true"/>
      <w:bidi w:val="0"/>
      <w:spacing w:lineRule="auto" w:line="264" w:before="0" w:after="160"/>
      <w:ind w:left="1600" w:right="0" w:hanging="0"/>
      <w:jc w:val="left"/>
    </w:pPr>
    <w:rPr>
      <w:rFonts w:ascii="XO Thames" w:hAnsi="XO Thames" w:eastAsia="Tahoma" w:cs="Lohit Devanagari"/>
      <w:color w:val="000000"/>
      <w:spacing w:val="0"/>
      <w:kern w:val="0"/>
      <w:sz w:val="28"/>
      <w:szCs w:val="20"/>
      <w:lang w:val="ru-RU" w:eastAsia="zh-CN" w:bidi="hi-IN"/>
    </w:rPr>
  </w:style>
  <w:style w:type="paragraph" w:styleId="118">
    <w:name w:val="Обычный1"/>
    <w:link w:val="16"/>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61">
    <w:name w:val="Contents 6"/>
    <w:link w:val="Contents6"/>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7">
    <w:name w:val="Содержимое врезки"/>
    <w:basedOn w:val="Normal"/>
    <w:link w:val="Style16"/>
    <w:qFormat/>
    <w:pPr/>
    <w:rPr/>
  </w:style>
  <w:style w:type="paragraph" w:styleId="Caption2">
    <w:name w:val="caption"/>
    <w:link w:val="Caption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8">
    <w:name w:val="TOC 8"/>
    <w:next w:val="Normal"/>
    <w:uiPriority w:val="39"/>
    <w:pPr>
      <w:widowControl/>
      <w:suppressAutoHyphens w:val="true"/>
      <w:bidi w:val="0"/>
      <w:spacing w:lineRule="auto" w:line="264" w:before="0" w:after="160"/>
      <w:ind w:left="1400" w:right="0" w:hanging="0"/>
      <w:jc w:val="left"/>
    </w:pPr>
    <w:rPr>
      <w:rFonts w:ascii="XO Thames" w:hAnsi="XO Thames" w:eastAsia="Tahoma" w:cs="Lohit Devanagari"/>
      <w:color w:val="000000"/>
      <w:spacing w:val="0"/>
      <w:kern w:val="0"/>
      <w:sz w:val="28"/>
      <w:szCs w:val="20"/>
      <w:lang w:val="ru-RU" w:eastAsia="zh-CN" w:bidi="hi-IN"/>
    </w:rPr>
  </w:style>
  <w:style w:type="paragraph" w:styleId="Style28">
    <w:name w:val="Footer"/>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119">
    <w:name w:val="Заголовок1"/>
    <w:link w:val="17"/>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52">
    <w:name w:val="TOC 5"/>
    <w:next w:val="Normal"/>
    <w:uiPriority w:val="39"/>
    <w:pPr>
      <w:widowControl/>
      <w:suppressAutoHyphens w:val="true"/>
      <w:bidi w:val="0"/>
      <w:spacing w:lineRule="auto" w:line="264" w:before="0" w:after="160"/>
      <w:ind w:left="800" w:right="0" w:hanging="0"/>
      <w:jc w:val="left"/>
    </w:pPr>
    <w:rPr>
      <w:rFonts w:ascii="XO Thames" w:hAnsi="XO Thames" w:eastAsia="Tahoma" w:cs="Lohit Devanagari"/>
      <w:color w:val="000000"/>
      <w:spacing w:val="0"/>
      <w:kern w:val="0"/>
      <w:sz w:val="28"/>
      <w:szCs w:val="20"/>
      <w:lang w:val="ru-RU" w:eastAsia="zh-CN" w:bidi="hi-IN"/>
    </w:rPr>
  </w:style>
  <w:style w:type="paragraph" w:styleId="Indexheading1">
    <w:name w:val="index heading"/>
    <w:basedOn w:val="Normal"/>
    <w:link w:val="Indexheading"/>
    <w:qFormat/>
    <w:pPr/>
    <w:rPr/>
  </w:style>
  <w:style w:type="paragraph" w:styleId="411">
    <w:name w:val="Заголовок 41"/>
    <w:link w:val="4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Textbody1">
    <w:name w:val="Text body"/>
    <w:link w:val="Textbody"/>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11">
    <w:name w:val="Contents 1"/>
    <w:link w:val="Contents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20">
    <w:name w:val="Нижний колонтитул1"/>
    <w:link w:val="18"/>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Style29">
    <w:name w:val="Subtitle"/>
    <w:next w:val="Normal"/>
    <w:uiPriority w:val="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Style30">
    <w:name w:val="Title"/>
    <w:next w:val="Style18"/>
    <w:uiPriority w:val="10"/>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Contents71">
    <w:name w:val="Contents 7"/>
    <w:link w:val="Contents7"/>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81">
    <w:name w:val="Contents 8"/>
    <w:link w:val="Contents8"/>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21">
    <w:name w:val="Основной шрифт абзаца1"/>
    <w:link w:val="19"/>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table" w:styleId="Style_4">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66">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
    <w:name w:val="Normal Table"/>
    <w:tblPr>
      <w:tblCellMar>
        <w:top w:w="0" w:type="dxa"/>
        <w:left w:w="108" w:type="dxa"/>
        <w:bottom w:w="0" w:type="dxa"/>
        <w:right w:w="108" w:type="dxa"/>
      </w:tblCellMar>
    </w:tblPr>
  </w:style>
  <w:style w:type="table" w:styleId="Style_67">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116</TotalTime>
  <Application>LibreOffice/7.4.4.2$Linux_X86_64 LibreOffice_project/40$Build-2</Application>
  <AppVersion>15.0000</AppVersion>
  <Pages>5</Pages>
  <Words>979</Words>
  <Characters>7550</Characters>
  <CharactersWithSpaces>8489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2023-11-22T17:04:04Z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