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W w:w="96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й в приложение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 на 2023 год»</w:t>
            </w:r>
            <w:r>
              <w:rPr>
                <w:rFonts w:ascii="Times New Roman" w:hAnsi="Times New Roman"/>
                <w:bCs/>
                <w:szCs w:val="28"/>
              </w:rPr>
            </w:r>
            <w:r/>
          </w:p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налоговая база определяется как кадастровая стоимость», обращений Варнина Артема Васильевича от 19.12.2022 № 60/3934, Юлдашева Фаррух Гайратовича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19.12.2022 № 60/3935,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акта обследования вида фактического использования объекта недвижимого имущества от 10.07.2023 № 00194,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</w:t>
      </w:r>
      <w:r>
        <w:rPr>
          <w:rFonts w:ascii="Times New Roman" w:hAnsi="Times New Roman" w:cs="Times New Roman"/>
          <w:sz w:val="28"/>
          <w:szCs w:val="28"/>
        </w:rPr>
        <w:t xml:space="preserve">их для целей налогообложения от 21.09.2023 №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таблицу приложения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  <w:shd w:val="clear" w:color="ffffff" w:themeColor="background1" w:fill="ffffff" w:themeFill="background1"/>
        </w:rPr>
        <w:t xml:space="preserve">3930 у</w:t>
      </w:r>
      <w:r>
        <w:rPr>
          <w:rFonts w:ascii="Times New Roman" w:hAnsi="Times New Roman" w:cs="Times New Roman"/>
          <w:bCs/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ратившим силу.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12 декабря 2022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13</cp:revision>
  <dcterms:created xsi:type="dcterms:W3CDTF">2023-06-01T02:47:00Z</dcterms:created>
  <dcterms:modified xsi:type="dcterms:W3CDTF">2023-09-27T04:51:44Z</dcterms:modified>
</cp:coreProperties>
</file>