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05" w:rsidRDefault="00A1330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13305" w:rsidRDefault="00A13305">
      <w:pPr>
        <w:pStyle w:val="ConsPlusNormal"/>
        <w:jc w:val="both"/>
        <w:outlineLvl w:val="0"/>
      </w:pPr>
    </w:p>
    <w:p w:rsidR="00A13305" w:rsidRDefault="00A13305">
      <w:pPr>
        <w:pStyle w:val="ConsPlusNormal"/>
        <w:outlineLvl w:val="0"/>
      </w:pPr>
      <w:r>
        <w:t>Зарегистрировано в Минюсте России 18 декабря 2019 г. N 56862</w:t>
      </w:r>
    </w:p>
    <w:p w:rsidR="00A13305" w:rsidRDefault="00A133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3305" w:rsidRDefault="00A13305">
      <w:pPr>
        <w:pStyle w:val="ConsPlusNormal"/>
      </w:pPr>
    </w:p>
    <w:p w:rsidR="00A13305" w:rsidRDefault="00A13305">
      <w:pPr>
        <w:pStyle w:val="ConsPlusTitle"/>
        <w:jc w:val="center"/>
      </w:pPr>
      <w:r>
        <w:t>МИНИСТЕРСТВО ФИНАНСОВ РОССИЙСКОЙ ФЕДЕРАЦИИ</w:t>
      </w:r>
    </w:p>
    <w:p w:rsidR="00A13305" w:rsidRDefault="00A13305">
      <w:pPr>
        <w:pStyle w:val="ConsPlusTitle"/>
        <w:jc w:val="center"/>
      </w:pPr>
    </w:p>
    <w:p w:rsidR="00A13305" w:rsidRDefault="00A13305">
      <w:pPr>
        <w:pStyle w:val="ConsPlusTitle"/>
        <w:jc w:val="center"/>
      </w:pPr>
      <w:r>
        <w:t>ПРИКАЗ</w:t>
      </w:r>
    </w:p>
    <w:p w:rsidR="00A13305" w:rsidRDefault="00A13305">
      <w:pPr>
        <w:pStyle w:val="ConsPlusTitle"/>
        <w:jc w:val="center"/>
      </w:pPr>
      <w:r>
        <w:t>от 21 ноября 2019 г. N 195н</w:t>
      </w:r>
    </w:p>
    <w:p w:rsidR="00A13305" w:rsidRDefault="00A13305">
      <w:pPr>
        <w:pStyle w:val="ConsPlusTitle"/>
        <w:jc w:val="center"/>
      </w:pPr>
    </w:p>
    <w:p w:rsidR="00A13305" w:rsidRDefault="00A13305">
      <w:pPr>
        <w:pStyle w:val="ConsPlusTitle"/>
        <w:jc w:val="center"/>
      </w:pPr>
      <w:r>
        <w:t>ОБ УТВЕРЖДЕНИИ ФЕДЕРАЛЬНОГО СТАНДАРТА</w:t>
      </w:r>
    </w:p>
    <w:p w:rsidR="00A13305" w:rsidRDefault="00A13305">
      <w:pPr>
        <w:pStyle w:val="ConsPlusTitle"/>
        <w:jc w:val="center"/>
      </w:pPr>
      <w:r>
        <w:t>ВНУТРЕННЕГО ФИНАНСОВОГО АУДИТА "ПРАВА И ОБЯЗАННОСТИ</w:t>
      </w:r>
    </w:p>
    <w:p w:rsidR="00A13305" w:rsidRDefault="00A13305">
      <w:pPr>
        <w:pStyle w:val="ConsPlusTitle"/>
        <w:jc w:val="center"/>
      </w:pPr>
      <w:r>
        <w:t>ДОЛЖНОСТНЫХ ЛИЦ (РАБОТНИКОВ) ПРИ ОСУЩЕСТВЛЕНИИ</w:t>
      </w:r>
    </w:p>
    <w:p w:rsidR="00A13305" w:rsidRDefault="00A13305">
      <w:pPr>
        <w:pStyle w:val="ConsPlusTitle"/>
        <w:jc w:val="center"/>
      </w:pPr>
      <w:r>
        <w:t>ВНУТРЕННЕГО ФИНАНСОВОГО АУДИТА"</w:t>
      </w:r>
    </w:p>
    <w:p w:rsidR="00A13305" w:rsidRDefault="00A13305">
      <w:pPr>
        <w:pStyle w:val="ConsPlusNormal"/>
        <w:ind w:firstLine="540"/>
        <w:jc w:val="both"/>
      </w:pPr>
    </w:p>
    <w:p w:rsidR="00A13305" w:rsidRDefault="00A1330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5 статьи 160.2-1</w:t>
        </w:r>
      </w:hyperlink>
      <w:r>
        <w:t xml:space="preserve"> и </w:t>
      </w:r>
      <w:hyperlink r:id="rId6" w:history="1">
        <w:r>
          <w:rPr>
            <w:color w:val="0000FF"/>
          </w:rPr>
          <w:t>абзацем сорок пятым статьи 165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2019, N 31, ст. 4466) приказываю: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внутреннего финансового аудита "Права и обязанности должностных лиц (работников) при осуществлении внутреннего финансового аудита".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2020 года.</w:t>
      </w:r>
    </w:p>
    <w:p w:rsidR="00A13305" w:rsidRDefault="00A13305">
      <w:pPr>
        <w:pStyle w:val="ConsPlusNormal"/>
        <w:ind w:firstLine="540"/>
        <w:jc w:val="both"/>
      </w:pPr>
    </w:p>
    <w:p w:rsidR="00A13305" w:rsidRDefault="00A13305">
      <w:pPr>
        <w:pStyle w:val="ConsPlusNormal"/>
        <w:jc w:val="right"/>
      </w:pPr>
      <w:r>
        <w:t>Первый заместитель</w:t>
      </w:r>
    </w:p>
    <w:p w:rsidR="00A13305" w:rsidRDefault="00A13305">
      <w:pPr>
        <w:pStyle w:val="ConsPlusNormal"/>
        <w:jc w:val="right"/>
      </w:pPr>
      <w:r>
        <w:t>Председателя Правительства</w:t>
      </w:r>
    </w:p>
    <w:p w:rsidR="00A13305" w:rsidRDefault="00A13305">
      <w:pPr>
        <w:pStyle w:val="ConsPlusNormal"/>
        <w:jc w:val="right"/>
      </w:pPr>
      <w:r>
        <w:t>Российской Федерации -</w:t>
      </w:r>
    </w:p>
    <w:p w:rsidR="00A13305" w:rsidRDefault="00A13305">
      <w:pPr>
        <w:pStyle w:val="ConsPlusNormal"/>
        <w:jc w:val="right"/>
      </w:pPr>
      <w:r>
        <w:t>Министр финансов</w:t>
      </w:r>
    </w:p>
    <w:p w:rsidR="00A13305" w:rsidRDefault="00A13305">
      <w:pPr>
        <w:pStyle w:val="ConsPlusNormal"/>
        <w:jc w:val="right"/>
      </w:pPr>
      <w:r>
        <w:t>Российской Федерации</w:t>
      </w:r>
    </w:p>
    <w:p w:rsidR="00A13305" w:rsidRDefault="00A13305">
      <w:pPr>
        <w:pStyle w:val="ConsPlusNormal"/>
        <w:jc w:val="right"/>
      </w:pPr>
      <w:r>
        <w:t>А.Г.СИЛУАНОВ</w:t>
      </w:r>
    </w:p>
    <w:p w:rsidR="00A13305" w:rsidRDefault="00A13305">
      <w:pPr>
        <w:pStyle w:val="ConsPlusNormal"/>
        <w:jc w:val="right"/>
      </w:pPr>
    </w:p>
    <w:p w:rsidR="00A13305" w:rsidRDefault="00A13305">
      <w:pPr>
        <w:pStyle w:val="ConsPlusNormal"/>
        <w:jc w:val="right"/>
      </w:pPr>
    </w:p>
    <w:p w:rsidR="00A13305" w:rsidRDefault="00A13305">
      <w:pPr>
        <w:pStyle w:val="ConsPlusNormal"/>
        <w:jc w:val="right"/>
      </w:pPr>
    </w:p>
    <w:p w:rsidR="00A13305" w:rsidRDefault="00A13305">
      <w:pPr>
        <w:pStyle w:val="ConsPlusNormal"/>
        <w:jc w:val="right"/>
      </w:pPr>
    </w:p>
    <w:p w:rsidR="00A13305" w:rsidRDefault="00A13305">
      <w:pPr>
        <w:pStyle w:val="ConsPlusNormal"/>
        <w:jc w:val="right"/>
      </w:pPr>
    </w:p>
    <w:p w:rsidR="00A13305" w:rsidRDefault="00A13305">
      <w:pPr>
        <w:pStyle w:val="ConsPlusNormal"/>
        <w:jc w:val="right"/>
        <w:outlineLvl w:val="0"/>
      </w:pPr>
      <w:r>
        <w:t>Утвержден</w:t>
      </w:r>
    </w:p>
    <w:p w:rsidR="00A13305" w:rsidRDefault="00A13305">
      <w:pPr>
        <w:pStyle w:val="ConsPlusNormal"/>
        <w:jc w:val="right"/>
      </w:pPr>
      <w:r>
        <w:t>приказом Министерства финансов</w:t>
      </w:r>
    </w:p>
    <w:p w:rsidR="00A13305" w:rsidRDefault="00A13305">
      <w:pPr>
        <w:pStyle w:val="ConsPlusNormal"/>
        <w:jc w:val="right"/>
      </w:pPr>
      <w:r>
        <w:t>Российской Федерации</w:t>
      </w:r>
    </w:p>
    <w:p w:rsidR="00A13305" w:rsidRDefault="00A13305">
      <w:pPr>
        <w:pStyle w:val="ConsPlusNormal"/>
        <w:jc w:val="right"/>
      </w:pPr>
      <w:r>
        <w:t>от 21.11.2019 N 195н</w:t>
      </w:r>
    </w:p>
    <w:p w:rsidR="00A13305" w:rsidRDefault="00A13305">
      <w:pPr>
        <w:pStyle w:val="ConsPlusNormal"/>
        <w:jc w:val="right"/>
      </w:pPr>
    </w:p>
    <w:p w:rsidR="00A13305" w:rsidRDefault="00A13305">
      <w:pPr>
        <w:pStyle w:val="ConsPlusTitle"/>
        <w:jc w:val="center"/>
      </w:pPr>
      <w:bookmarkStart w:id="0" w:name="P34"/>
      <w:bookmarkEnd w:id="0"/>
      <w:r>
        <w:t>ФЕДЕРАЛЬНЫЙ СТАНДАРТ</w:t>
      </w:r>
    </w:p>
    <w:p w:rsidR="00A13305" w:rsidRDefault="00A13305">
      <w:pPr>
        <w:pStyle w:val="ConsPlusTitle"/>
        <w:jc w:val="center"/>
      </w:pPr>
      <w:r>
        <w:t>ВНУТРЕННЕГО ФИНАНСОВОГО АУДИТА "ПРАВА И ОБЯЗАННОСТИ</w:t>
      </w:r>
    </w:p>
    <w:p w:rsidR="00A13305" w:rsidRDefault="00A13305">
      <w:pPr>
        <w:pStyle w:val="ConsPlusTitle"/>
        <w:jc w:val="center"/>
      </w:pPr>
      <w:r>
        <w:t>ДОЛЖНОСТНЫХ ЛИЦ (РАБОТНИКОВ) ПРИ ОСУЩЕСТВЛЕНИИ ВНУТРЕННЕГО</w:t>
      </w:r>
    </w:p>
    <w:p w:rsidR="00A13305" w:rsidRDefault="00A13305">
      <w:pPr>
        <w:pStyle w:val="ConsPlusTitle"/>
        <w:jc w:val="center"/>
      </w:pPr>
      <w:r>
        <w:t>ФИНАНСОВОГО АУДИТА"</w:t>
      </w:r>
    </w:p>
    <w:p w:rsidR="00A13305" w:rsidRDefault="00A13305">
      <w:pPr>
        <w:pStyle w:val="ConsPlusNormal"/>
        <w:jc w:val="center"/>
      </w:pPr>
    </w:p>
    <w:p w:rsidR="00A13305" w:rsidRDefault="00A13305">
      <w:pPr>
        <w:pStyle w:val="ConsPlusTitle"/>
        <w:jc w:val="center"/>
        <w:outlineLvl w:val="1"/>
      </w:pPr>
      <w:r>
        <w:t>I. Общие положения</w:t>
      </w:r>
    </w:p>
    <w:p w:rsidR="00A13305" w:rsidRDefault="00A13305">
      <w:pPr>
        <w:pStyle w:val="ConsPlusNormal"/>
        <w:jc w:val="center"/>
      </w:pPr>
    </w:p>
    <w:p w:rsidR="00A13305" w:rsidRDefault="00A13305">
      <w:pPr>
        <w:pStyle w:val="ConsPlusNormal"/>
        <w:ind w:firstLine="540"/>
        <w:jc w:val="both"/>
      </w:pPr>
      <w:r>
        <w:t xml:space="preserve">1. Настоящий федеральный стандарт внутреннего финансового аудита "Права и обязанности должностных лиц (работников) при осуществлении внутреннего финансового аудита" (далее - Стандарт) разработан в соответствии со </w:t>
      </w:r>
      <w:hyperlink r:id="rId7" w:history="1">
        <w:r>
          <w:rPr>
            <w:color w:val="0000FF"/>
          </w:rPr>
          <w:t>статьей 160.2-1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2019, N 30, ст. 4101), применяется при организации и осуществлении внутреннего финансового аудита и определяет права и обязанности должностных лиц (работников) главных распорядителей </w:t>
      </w:r>
      <w:r>
        <w:lastRenderedPageBreak/>
        <w:t>бюджетных средств, главных администраторов доходов бюджета, главных администраторов источников финансирования дефицита бюджета (далее - главные администраторы бюджетных средств), распорядителей бюджетных средств, получателей бюджетных средств, администраторов доходов бюджета, администраторов источников финансирования дефицита бюджета (далее - администраторы бюджетных средств), которыми являются: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должностные лица (работники) субъекта внутреннего финансового аудита (уполномоченное должностное лицо (работник) главного администратора (администратора) бюджетных средств, наделенное полномочиями по осуществлению внутреннего финансового аудита (далее - уполномоченное должностное лицо));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субъекты бюджетных процедур;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привлеченные к проведению аудиторского мероприятия должностные лица (работники) главного администратора (администратора) бюджетных средств.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Привлеченные к проведению аудиторского мероприятия должностные лица (работники) главного администратора (администратора) бюджетных средств и (или) эксперты наделяются правами и обязанностями должностных лиц (работников) субъекта внутреннего финансового аудита (за исключением прав и обязанностей руководителя субъекта внутреннего финансового аудита, а также руководителя аудиторской группы).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 xml:space="preserve">2. В целях настоящего </w:t>
      </w:r>
      <w:hyperlink r:id="rId8" w:history="1">
        <w:r>
          <w:rPr>
            <w:color w:val="0000FF"/>
          </w:rPr>
          <w:t>Стандарта</w:t>
        </w:r>
      </w:hyperlink>
      <w:r>
        <w:t xml:space="preserve"> применяются термины в значениях, определенных федеральным стандартом внутреннего финансового аудита "Определения, принципы и задачи внутреннего финансового аудита".</w:t>
      </w:r>
    </w:p>
    <w:p w:rsidR="00A13305" w:rsidRDefault="00A13305">
      <w:pPr>
        <w:pStyle w:val="ConsPlusNormal"/>
        <w:ind w:firstLine="540"/>
        <w:jc w:val="both"/>
      </w:pPr>
    </w:p>
    <w:p w:rsidR="00A13305" w:rsidRDefault="00A13305">
      <w:pPr>
        <w:pStyle w:val="ConsPlusTitle"/>
        <w:jc w:val="center"/>
        <w:outlineLvl w:val="1"/>
      </w:pPr>
      <w:r>
        <w:t>II. Права и обязанности должностных лиц (работников)</w:t>
      </w:r>
    </w:p>
    <w:p w:rsidR="00A13305" w:rsidRDefault="00A13305">
      <w:pPr>
        <w:pStyle w:val="ConsPlusTitle"/>
        <w:jc w:val="center"/>
      </w:pPr>
      <w:r>
        <w:t>субъекта внутреннего финансового аудита</w:t>
      </w:r>
    </w:p>
    <w:p w:rsidR="00A13305" w:rsidRDefault="00A13305">
      <w:pPr>
        <w:pStyle w:val="ConsPlusNormal"/>
        <w:jc w:val="center"/>
      </w:pPr>
    </w:p>
    <w:p w:rsidR="00A13305" w:rsidRDefault="00A13305">
      <w:pPr>
        <w:pStyle w:val="ConsPlusNormal"/>
        <w:ind w:firstLine="540"/>
        <w:jc w:val="both"/>
      </w:pPr>
      <w:bookmarkStart w:id="1" w:name="P51"/>
      <w:bookmarkEnd w:id="1"/>
      <w:r>
        <w:t>3. Должностные лица (работники) субъекта внутреннего финансового аудита (уполномоченное должностное лицо, члены аудиторской группы) при подготовке к проведению и проведении аудиторских мероприятий имеют право: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объектом внутреннего финансового аудита, в том числе объяснения в письменной и (или) устной форме;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получать доступ к прикладным программным средствам и информационным ресурсам, обеспечивающим исполнение бюджетных полномочий главного администратора (администратора) бюджетных средств и (или) содержащим информацию об операциях (действиях) по выполнению бюджетной процедуры;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 xml:space="preserve">знакомиться с организационно-распорядительными и техническими документами главного администратора (администратора) бюджетных средств </w:t>
      </w:r>
      <w:proofErr w:type="gramStart"/>
      <w:r>
        <w:t>к используемым субъектами</w:t>
      </w:r>
      <w:proofErr w:type="gramEnd"/>
      <w:r>
        <w:t xml:space="preserve"> бюджетных процедур прикладным программным средствам и информационным ресурсам, включая описание и применение средств защиты информации;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посещать помещения и территории, которые занимают субъекты бюджетных процедур;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консультировать субъектов бюджетных процедур по вопросам, связанным с совершенствованием организации и осуществления контрольных действий, повышением качества финансового менеджмента, в том числе с повышением результативности и экономности использования бюджетных средств;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 xml:space="preserve">осуществлять профессиональное развитие путем приобретения новых знаний и умений, развития профессиональных и личностных качеств в целях поддержания и повышения уровня </w:t>
      </w:r>
      <w:r>
        <w:lastRenderedPageBreak/>
        <w:t>квалификации, необходимого для надлежащего исполнения должностных обязанностей при осуществлении внутреннего финансового аудита;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 xml:space="preserve">получать от юридических лиц (организаций), которым переданы отдельные полномочия, необходимые для осуществления внутреннего финансового аудита документы и фактические данные, информацию, а также доступ к их прикладным программным средствам и информационным ресурсам в случае, если органы государственной власти (государственные органы), органы управления государственными внебюджетными фондами, органы местного самоуправления (их территориальные органы, подведомственные казенные учреждения) и государственные корпорации, являющиеся главными администраторами (администраторами) бюджетных средств, передали свои отдельные полномочия, в том числе бюджетные полномочия, полномочия государственного (муниципального) заказчика и полномочия, указанные в </w:t>
      </w:r>
      <w:hyperlink r:id="rId9" w:history="1">
        <w:r>
          <w:rPr>
            <w:color w:val="0000FF"/>
          </w:rPr>
          <w:t>пункте 6 статьи 264.1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2019, N 30, ст. 4101). Запрос и получение вышеуказанных сведений осуществляется в порядке взаимодействия между передающим отдельные полномочия и принимающим эти полномочия юридическим лицом (организацией) в части предоставления информации об осуществлении переданных полномочий, установленном договором (соглашением) о передаче полномочий и (или) решением о передаче полномочий;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руководствоваться применимыми при осуществлении внутреннего финансового аудита положениями профессионального стандарта "Внутренний аудитор" &lt;1&gt; в части положений, не урегулированных установленными Министерством финансов Российской Федерации федеральными стандартами внутреннего финансового аудита, а также ведомственными (внутренними) актами главного администратора (администратора) бюджетных средств, обеспечивающими осуществление внутреннего финансового аудита.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 xml:space="preserve">&lt;1&gt; Профессиональный </w:t>
      </w:r>
      <w:hyperlink r:id="rId10" w:history="1">
        <w:r>
          <w:rPr>
            <w:color w:val="0000FF"/>
          </w:rPr>
          <w:t>стандарт</w:t>
        </w:r>
      </w:hyperlink>
      <w:r>
        <w:t xml:space="preserve"> "Внутренний аудитор", утвержденный приказом Министерства труда и социальной защиты Российской Федерации от 24.06.2015 N 398н (зарегистрирован в Министерстве юстиции Российской Федерации 29 июля 2015 г., регистрационный N 38251).</w:t>
      </w:r>
    </w:p>
    <w:p w:rsidR="00A13305" w:rsidRDefault="00A13305">
      <w:pPr>
        <w:pStyle w:val="ConsPlusNormal"/>
        <w:ind w:firstLine="540"/>
        <w:jc w:val="both"/>
      </w:pPr>
    </w:p>
    <w:p w:rsidR="00A13305" w:rsidRDefault="00A13305">
      <w:pPr>
        <w:pStyle w:val="ConsPlusNormal"/>
        <w:ind w:firstLine="540"/>
        <w:jc w:val="both"/>
      </w:pPr>
      <w:bookmarkStart w:id="2" w:name="P63"/>
      <w:bookmarkEnd w:id="2"/>
      <w:r>
        <w:t xml:space="preserve">4. Руководитель аудиторской группы, помимо указанных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Стандарта прав, имеет право: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подписывать и направлять запросы субъектам бюджетных процедур о представлении документов и фактических данных, информации, необходимых для осуществления внутреннего финансового аудита;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обсуждать с субъектами бюджетных процедур, являющимися руководителями структурных подразделений главного администратора (администратора) бюджетных средств, вопросы, связанные с проведением аудиторского мероприятия, в том числе результаты проведения аудиторского мероприятия, отраженные в заключении;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подготавливать и представлять на согласование руководителю субъекта внутреннего финансового аудита предложения по программе аудиторского мероприятия, в том числе по ее изменению (в случае если руководитель аудиторской группы не является уполномоченным должностным лицом).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 xml:space="preserve">5. Руководитель субъекта внутреннего финансового аудита, помимо указанных в </w:t>
      </w:r>
      <w:hyperlink w:anchor="P51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63" w:history="1">
        <w:r>
          <w:rPr>
            <w:color w:val="0000FF"/>
          </w:rPr>
          <w:t>4</w:t>
        </w:r>
      </w:hyperlink>
      <w:r>
        <w:t xml:space="preserve"> настоящего Стандарта прав, имеет право: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подписывать и направлять обращения к лицам, располагающим документами и фактическими данными, информацией, необходимой для проведения аудиторского мероприятия;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lastRenderedPageBreak/>
        <w:t>привлекать к проведению аудиторского мероприятия должностное лицо (работника) главного администратора (администратора) бюджетных средств и (или) эксперта, а также включать привлеченных лиц в состав аудиторской группы;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определять членов аудиторской группы и назначать из состава должностных лиц (работников) субъекта внутреннего финансового аудита руководителя аудиторской группы в целях проведения аудиторского мероприятия;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по результатам проведенной оценки бюджетных рисков вносить изменения в программу аудиторского мероприятия (за исключением изменения срока проведения аудиторского мероприятия в части даты его окончания);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обсуждать с руководителем главного администратора (администратора) бюджетных средств вопросы, связанные с проведением аудиторского мероприятия;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подготавливать и направлять руководителю главного администратора (администратора) бюджетных средств предложения о внесении изменений в план проведения аудиторских мероприятий, а также предложения о проведении внеплановых аудиторских мероприятий;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подготавливать предложения, касающиеся организации внутреннего финансового контроля, в том числе предложения об организации и осуществлении контрольных действий;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подготавливать предложения по совершенствованию правовых актов и иных документов главного администратора (администратора) бюджетных средств, устанавливающих требования к организации (обеспечению выполнения), выполнению бюджетной процедуры.</w:t>
      </w:r>
    </w:p>
    <w:p w:rsidR="00A13305" w:rsidRDefault="00A13305">
      <w:pPr>
        <w:pStyle w:val="ConsPlusNormal"/>
        <w:spacing w:before="220"/>
        <w:ind w:firstLine="540"/>
        <w:jc w:val="both"/>
      </w:pPr>
      <w:bookmarkStart w:id="3" w:name="P76"/>
      <w:bookmarkEnd w:id="3"/>
      <w:r>
        <w:t>6. Должностные лица (работники) субъекта внутреннего финансового аудита (уполномоченное должностное лицо, члены аудиторской группы) обязаны: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соблюдать требования законодательства Российской Федерации, а также положения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и ведомственные (внутренние) акты главного администратора (администратора) бюджетных средств;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 xml:space="preserve">соблюдать положения Кодекса этики и служебного поведения, принятого главным администратором (администратором) бюджетных средств в соответствии со </w:t>
      </w:r>
      <w:hyperlink r:id="rId11" w:history="1">
        <w:r>
          <w:rPr>
            <w:color w:val="0000FF"/>
          </w:rPr>
          <w:t>статьей 13.3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2012, N 50, ст. 6954);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своевременно сообщать руководителю субъекта внутреннего финансового аудита (руководителю главного администратора (администратора) бюджетных средств) о нарушениях должностными лицами (работниками) субъекта внутреннего финансового аудита (членами аудиторской группы) принципов внутреннего финансового аудита, о личной заинтересованности при исполнении должностных обязанностей, которая может привести к конфликту интересов, а также о выявленных признаках коррупционных и иных правонарушений;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использовать информацию, полученную при осуществлении внутреннего финансового аудита, исключительно в целях исполнения должностных обязанностей;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применять основанный на результатах оценки бюджетных рисков (риск-ориентированный) подход при планировании и проведении аудиторских мероприятий;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проводить аудиторские мероприятия в соответствии с программами этих мероприятий, в том числе по решению руководителя аудиторской группы выполнять отдельные задания и подготавливать аналитические записки в рамках аудиторского мероприятия;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lastRenderedPageBreak/>
        <w:t>обеспечивать получение достаточных аудиторских доказательств;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формировать рабочую документацию аудиторского мероприятия;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обеспечивать сбор и анализ информации о бюджетных рисках, оценивать бюджетные риски и способы их минимизации, а также анализировать выявленные нарушения и (или) недостатки в целях ведения реестра бюджетных рисков;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принимать участие в подготовке заключений и годовой отчетности о результатах деятельности субъекта внутреннего финансового аудита.</w:t>
      </w:r>
    </w:p>
    <w:p w:rsidR="00A13305" w:rsidRDefault="00A13305">
      <w:pPr>
        <w:pStyle w:val="ConsPlusNormal"/>
        <w:spacing w:before="220"/>
        <w:ind w:firstLine="540"/>
        <w:jc w:val="both"/>
      </w:pPr>
      <w:bookmarkStart w:id="4" w:name="P87"/>
      <w:bookmarkEnd w:id="4"/>
      <w:r>
        <w:t xml:space="preserve">7. Руководитель аудиторской группы, помимо исполнения указанных в </w:t>
      </w:r>
      <w:hyperlink w:anchor="P76" w:history="1">
        <w:r>
          <w:rPr>
            <w:color w:val="0000FF"/>
          </w:rPr>
          <w:t>пункте 6</w:t>
        </w:r>
      </w:hyperlink>
      <w:r>
        <w:t xml:space="preserve"> настоящего Стандарта обязанностей, обязан: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проводить анализ документов и фактических данных, информации, связанных с объектом внутреннего финансового аудита, в целях планирования и проведения аудиторского мероприятия;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по результатам проведенной оценки бюджетных рисков осуществлять планирование аудиторского мероприятия и формировать программу аудиторского мероприятия, а также представлять ее на утверждение руководителю субъекта внутреннего финансового аудита;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обеспечивать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документации аудиторского мероприятия и достаточности аудиторских доказательств;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обеспечивать подготовку заключения;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направлять субъектам бюджетных процедур, являющимся руководителями структурных подразделений главного администратора (администратора) бюджетных средств, программу аудиторского мероприятия, а также проект заключения и (или) заключение;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подготавливать материалы, необходимые для рассмотрения письменных возражений и предложений, полученных от субъектов бюджетных процедур, являющихся руководителями структурных подразделений главного администратора (администратора) бюджетных средств, и по результатам проведенного аудиторского мероприятия (при наличии).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 xml:space="preserve">8. Руководитель субъекта внутреннего финансового аудита, помимо исполнения указанных в </w:t>
      </w:r>
      <w:hyperlink w:anchor="P76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87" w:history="1">
        <w:r>
          <w:rPr>
            <w:color w:val="0000FF"/>
          </w:rPr>
          <w:t>7</w:t>
        </w:r>
      </w:hyperlink>
      <w:r>
        <w:t xml:space="preserve"> настоящего Стандарта обязанностей, обязан: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планировать деятельность субъекта внутреннего финансового аудита, в том числе в части проведения аудиторских мероприятий;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представлять на утверждение руководителю главного администратора (администратора) бюджетных средств план проведения аудиторских мероприятий;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обеспечивать выполнение плана проведения аудиторских мероприятий;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утверждать программы аудиторских мероприятий;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самостоятельно проводить аудиторское мероприятие в случае, если руководителем субъекта внутреннего финансового аудита является уполномоченное должностное лицо;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рассматривать письменные возражения и предложения субъектов бюджетных процедур, являющихся руководителями структурных подразделений главного администратора (администратора) бюджетных средств, по результатам проведенного аудиторского мероприятия (при наличии);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lastRenderedPageBreak/>
        <w:t>подписывать заключения, осуществляя контроль полноты отражения результатов проведения аудиторского мероприятия, и представлять заключения руководителю главного администратора (администратора) бюджетных средств;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представлять руководителю главного администратора (администратора) бюджетных средств годовую отчетность о результатах деятельности субъекта внутреннего финансового аудита за отчетный год;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обеспечивать проведение мониторинга реализации субъектами бюджетных процедур мер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обеспечивать ведение реестра бюджетных рисков;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принимать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должностных обязанностей, которая может привести к конфликту интересов, со стороны должностных лиц (работников) субъекта внутреннего финансового аудита (членов аудиторской группы);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своевременно сообщать руководителю главного администратора (администратора) бюджетных средств о выявленных признаках коррупционных и иных правонарушений.</w:t>
      </w:r>
    </w:p>
    <w:p w:rsidR="00A13305" w:rsidRDefault="00A13305">
      <w:pPr>
        <w:pStyle w:val="ConsPlusNormal"/>
        <w:ind w:firstLine="540"/>
        <w:jc w:val="both"/>
      </w:pPr>
    </w:p>
    <w:p w:rsidR="00A13305" w:rsidRDefault="00A13305">
      <w:pPr>
        <w:pStyle w:val="ConsPlusTitle"/>
        <w:jc w:val="center"/>
        <w:outlineLvl w:val="1"/>
      </w:pPr>
      <w:r>
        <w:t>III. Права и обязанности субъектов бюджетных процедур</w:t>
      </w:r>
    </w:p>
    <w:p w:rsidR="00A13305" w:rsidRDefault="00A13305">
      <w:pPr>
        <w:pStyle w:val="ConsPlusNormal"/>
        <w:jc w:val="center"/>
      </w:pPr>
    </w:p>
    <w:p w:rsidR="00A13305" w:rsidRDefault="00A13305">
      <w:pPr>
        <w:pStyle w:val="ConsPlusNormal"/>
        <w:ind w:firstLine="540"/>
        <w:jc w:val="both"/>
      </w:pPr>
      <w:r>
        <w:t>9. Субъекты бюджетных процедур имеют право: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ознакомиться с программой аудиторского мероприятия;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получать разъяснения у членов аудиторской группы по вопросам, связанным с проведением аудиторского мероприятия;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получать информацию о результатах проведения аудиторского мероприятия (проект заключения, заключение);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представлять письменные возражения и предложения по результатам проведенного аудиторского мероприятия.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10. Субъекты бюджетных процедур обязаны: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оценивать бюджетные риски и анализировать способы их минимизации, а также анализировать выявленные нарушения и (или) недостатки в целях формирования предложений по ведению реестра бюджетных рисков;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выполнять законные требования руководителя и членов аудиторской группы;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по результатам проведения аудиторских мероприятий реализовывать меры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 (при необходимости);</w:t>
      </w:r>
    </w:p>
    <w:p w:rsidR="00A13305" w:rsidRDefault="00A13305">
      <w:pPr>
        <w:pStyle w:val="ConsPlusNormal"/>
        <w:spacing w:before="220"/>
        <w:ind w:firstLine="540"/>
        <w:jc w:val="both"/>
      </w:pPr>
      <w:r>
        <w:t>осуществлять в присутствии членов аудиторской группы бюджетные процедуры и составляющие эти процедуры операции (действия) по организации (обеспечению выполнения), выполнению бюджетной процедуры и формированию документов, необходимых для выполнения бюджетной процедуры, в случае, если аудиторское мероприятие проводится методом наблюдения и (или) инспектирования.</w:t>
      </w:r>
    </w:p>
    <w:p w:rsidR="00A13305" w:rsidRDefault="00A13305">
      <w:pPr>
        <w:pStyle w:val="ConsPlusNormal"/>
        <w:ind w:firstLine="540"/>
        <w:jc w:val="both"/>
      </w:pPr>
    </w:p>
    <w:p w:rsidR="00A13305" w:rsidRDefault="00A13305">
      <w:pPr>
        <w:pStyle w:val="ConsPlusNormal"/>
        <w:ind w:firstLine="540"/>
        <w:jc w:val="both"/>
      </w:pPr>
    </w:p>
    <w:p w:rsidR="00A13305" w:rsidRDefault="00A133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5FEC" w:rsidRDefault="00E65FEC">
      <w:bookmarkStart w:id="5" w:name="_GoBack"/>
      <w:bookmarkEnd w:id="5"/>
    </w:p>
    <w:sectPr w:rsidR="00E65FEC" w:rsidSect="0070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05"/>
    <w:rsid w:val="00A13305"/>
    <w:rsid w:val="00E6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A8C18-F002-4F30-954A-5D11BC69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3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3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533DE0B59A9BE7C15B06514639553E3BD2D7C5C3202E37FCC8DE6AE683B3BB63AA28BB7580545B332CCF31415F5B5B15CEB0395CCE44A07B1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0533DE0B59A9BE7C15B06514639553E3BA2C78523302E37FCC8DE6AE683B3BB63AA28FB759074FE268DCF75D41FBAAB246F5058BCC0EB4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0533DE0B59A9BE7C15B06514639553E3BA2C78523302E37FCC8DE6AE683B3BB63AA28EBE58074FE268DCF75D41FBAAB246F5058BCC0EB4F" TargetMode="External"/><Relationship Id="rId11" Type="http://schemas.openxmlformats.org/officeDocument/2006/relationships/hyperlink" Target="consultantplus://offline/ref=AA0533DE0B59A9BE7C15B06514639553E3BA257A533002E37FCC8DE6AE683B3BB63AA283B1535115F26C95A3535EF8B0AC40EB0508BBF" TargetMode="External"/><Relationship Id="rId5" Type="http://schemas.openxmlformats.org/officeDocument/2006/relationships/hyperlink" Target="consultantplus://offline/ref=AA0533DE0B59A9BE7C15B06514639553E3BA2C78523302E37FCC8DE6AE683B3BB63AA28FB759074FE268DCF75D41FBAAB246F5058BCC0EB4F" TargetMode="External"/><Relationship Id="rId10" Type="http://schemas.openxmlformats.org/officeDocument/2006/relationships/hyperlink" Target="consultantplus://offline/ref=AA0533DE0B59A9BE7C15B06514639553E1B6217D523602E37FCC8DE6AE683B3BB63AA28BB7580544BF32CCF31415F5B5B15CEB0395CCE44A07B1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A0533DE0B59A9BE7C15B06514639553E3BA2C78523302E37FCC8DE6AE683B3BB63AA28EBE5A034FE268DCF75D41FBAAB246F5058BCC0EB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Мурзак Владимир Николаевич</dc:creator>
  <cp:keywords/>
  <dc:description/>
  <cp:lastModifiedBy>Мурзак Владимир Николаевич</cp:lastModifiedBy>
  <cp:revision>1</cp:revision>
  <dcterms:created xsi:type="dcterms:W3CDTF">2020-04-13T05:01:00Z</dcterms:created>
  <dcterms:modified xsi:type="dcterms:W3CDTF">2020-04-13T05:02:00Z</dcterms:modified>
</cp:coreProperties>
</file>