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 xml:space="preserve">тся по адресу: 683040, пл. им. В.И. Ленина, д. 1, г. Петропавловск-Камчатский, Министерство финансов Камчатского края, а также по адресу электронной </w:t>
            </w:r>
            <w:proofErr w:type="spellStart"/>
            <w:r w:rsidR="00522A6B" w:rsidRPr="000C5F5B">
              <w:rPr>
                <w:rFonts w:ascii="Times New Roman" w:hAnsi="Times New Roman" w:cs="Times New Roman"/>
              </w:rPr>
              <w:t>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1C002F">
              <w:rPr>
                <w:rFonts w:ascii="Times New Roman" w:hAnsi="Times New Roman" w:cs="Times New Roman"/>
              </w:rPr>
              <w:t>01.03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1C002F">
              <w:rPr>
                <w:rFonts w:ascii="Times New Roman" w:hAnsi="Times New Roman" w:cs="Times New Roman"/>
              </w:rPr>
              <w:t>12</w:t>
            </w:r>
            <w:r w:rsidR="00522A6B" w:rsidRPr="000C5F5B">
              <w:rPr>
                <w:rFonts w:ascii="Times New Roman" w:hAnsi="Times New Roman" w:cs="Times New Roman"/>
              </w:rPr>
              <w:t xml:space="preserve">.03.2019;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до18-00; в пятницу с 9-00 до 17-00.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0C5F5B" w:rsidRDefault="001C002F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Тимчук Леся Богдановна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правового и кадрового обеспечения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55-53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5" w:history="1">
              <w:r w:rsidRPr="000E70D7">
                <w:rPr>
                  <w:rStyle w:val="a4"/>
                  <w:rFonts w:ascii="Times New Roman" w:hAnsi="Times New Roman" w:cs="Times New Roman"/>
                  <w:lang w:val="en-US"/>
                </w:rPr>
                <w:t>TimchukLB</w:t>
              </w:r>
              <w:r w:rsidRPr="000E70D7">
                <w:rPr>
                  <w:rStyle w:val="a4"/>
                  <w:rFonts w:ascii="Times New Roman" w:hAnsi="Times New Roman" w:cs="Times New Roman"/>
                </w:rPr>
                <w:t>@kamgov.ru</w:t>
              </w:r>
            </w:hyperlink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0C5F5B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522A6B" w:rsidRPr="001C002F" w:rsidRDefault="00522A6B" w:rsidP="00A471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02F">
              <w:rPr>
                <w:rFonts w:ascii="Times New Roman" w:hAnsi="Times New Roman" w:cs="Times New Roman"/>
                <w:b/>
              </w:rPr>
              <w:t xml:space="preserve">Проект приказа Министерства финансов Камчатского края </w:t>
            </w:r>
            <w:r w:rsidR="005F0063" w:rsidRPr="001C002F">
              <w:rPr>
                <w:rFonts w:ascii="Times New Roman" w:hAnsi="Times New Roman" w:cs="Times New Roman"/>
                <w:b/>
              </w:rPr>
              <w:t>«</w:t>
            </w:r>
            <w:r w:rsidR="001C002F" w:rsidRPr="001C002F">
              <w:rPr>
                <w:rFonts w:ascii="Times New Roman" w:hAnsi="Times New Roman" w:cs="Times New Roman"/>
                <w:b/>
                <w:bCs/>
              </w:rPr>
              <w:t xml:space="preserve">О внесении изменения в приложение № 1 к приказу Министерства финансов Камчатского края от 23.09.2014 </w:t>
            </w:r>
            <w:r w:rsidR="001C002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C002F" w:rsidRPr="001C002F">
              <w:rPr>
                <w:rFonts w:ascii="Times New Roman" w:hAnsi="Times New Roman" w:cs="Times New Roman"/>
                <w:b/>
                <w:bCs/>
              </w:rPr>
              <w:t>№ 166 «О создании общественного совета при Министерстве финансов Камчатского края»</w:t>
            </w:r>
            <w:r w:rsidR="005F0063" w:rsidRPr="001C002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2A6B" w:rsidRPr="000C5F5B" w:rsidTr="000C5F5B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  <w:hideMark/>
          </w:tcPr>
          <w:p w:rsidR="00522A6B" w:rsidRPr="000C5F5B" w:rsidRDefault="001C002F">
            <w:pPr>
              <w:rPr>
                <w:rFonts w:ascii="Times New Roman" w:hAnsi="Times New Roman" w:cs="Times New Roman"/>
              </w:rPr>
            </w:pPr>
            <w:hyperlink r:id="rId6" w:history="1">
              <w:r w:rsidRPr="000E70D7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https://www.kamgov.ru/minfin/document/frontend-document/view-project?id=7453</w:t>
              </w:r>
            </w:hyperlink>
            <w:r>
              <w:rPr>
                <w:rStyle w:val="a4"/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1C002F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C5F5B"/>
    <w:rsid w:val="000F3F04"/>
    <w:rsid w:val="001C002F"/>
    <w:rsid w:val="00314DC7"/>
    <w:rsid w:val="00345930"/>
    <w:rsid w:val="00522A6B"/>
    <w:rsid w:val="005F0063"/>
    <w:rsid w:val="00684F81"/>
    <w:rsid w:val="00A471D0"/>
    <w:rsid w:val="00AE4E5D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6513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453" TargetMode="External"/><Relationship Id="rId5" Type="http://schemas.openxmlformats.org/officeDocument/2006/relationships/hyperlink" Target="mailto:TimchukLB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2</cp:revision>
  <dcterms:created xsi:type="dcterms:W3CDTF">2019-02-28T23:17:00Z</dcterms:created>
  <dcterms:modified xsi:type="dcterms:W3CDTF">2019-02-28T23:17:00Z</dcterms:modified>
</cp:coreProperties>
</file>