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Pr="00FF3352" w:rsidRDefault="004549E8" w:rsidP="00033533">
      <w:pPr>
        <w:spacing w:line="276" w:lineRule="auto"/>
        <w:rPr>
          <w:sz w:val="28"/>
          <w:szCs w:val="28"/>
        </w:rPr>
      </w:pPr>
      <w:r w:rsidRPr="00FF3352">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FF3352" w:rsidRDefault="004549E8" w:rsidP="004549E8">
      <w:pPr>
        <w:spacing w:line="360" w:lineRule="auto"/>
        <w:jc w:val="center"/>
        <w:rPr>
          <w:sz w:val="32"/>
          <w:szCs w:val="32"/>
        </w:rPr>
      </w:pPr>
    </w:p>
    <w:p w:rsidR="004549E8" w:rsidRPr="00FF3352" w:rsidRDefault="004549E8" w:rsidP="004549E8">
      <w:pPr>
        <w:autoSpaceDE w:val="0"/>
        <w:autoSpaceDN w:val="0"/>
        <w:adjustRightInd w:val="0"/>
        <w:jc w:val="center"/>
        <w:rPr>
          <w:b/>
          <w:bCs/>
          <w:sz w:val="32"/>
          <w:szCs w:val="32"/>
        </w:rPr>
      </w:pPr>
    </w:p>
    <w:p w:rsidR="00F46EC1" w:rsidRPr="00FF3352" w:rsidRDefault="00F46EC1" w:rsidP="004E1446">
      <w:pPr>
        <w:autoSpaceDE w:val="0"/>
        <w:autoSpaceDN w:val="0"/>
        <w:adjustRightInd w:val="0"/>
        <w:rPr>
          <w:b/>
          <w:bCs/>
          <w:sz w:val="32"/>
          <w:szCs w:val="32"/>
        </w:rPr>
      </w:pPr>
    </w:p>
    <w:p w:rsidR="007F7A62" w:rsidRPr="00FF3352" w:rsidRDefault="00F31EAA" w:rsidP="007F7A62">
      <w:pPr>
        <w:jc w:val="center"/>
        <w:rPr>
          <w:b/>
          <w:sz w:val="28"/>
          <w:szCs w:val="28"/>
        </w:rPr>
      </w:pPr>
      <w:r w:rsidRPr="00FF3352">
        <w:rPr>
          <w:b/>
          <w:sz w:val="28"/>
          <w:szCs w:val="28"/>
        </w:rPr>
        <w:t xml:space="preserve">МИНИСТЕРСТВО </w:t>
      </w:r>
      <w:r w:rsidR="00675AA1" w:rsidRPr="00FF3352">
        <w:rPr>
          <w:b/>
          <w:sz w:val="28"/>
          <w:szCs w:val="28"/>
        </w:rPr>
        <w:t>ФИНАНСОВ</w:t>
      </w:r>
    </w:p>
    <w:p w:rsidR="007F7A62" w:rsidRPr="00FF3352" w:rsidRDefault="007F7A62" w:rsidP="007F7A62">
      <w:pPr>
        <w:jc w:val="center"/>
        <w:rPr>
          <w:b/>
          <w:sz w:val="28"/>
          <w:szCs w:val="28"/>
        </w:rPr>
      </w:pPr>
      <w:r w:rsidRPr="00FF3352">
        <w:rPr>
          <w:b/>
          <w:sz w:val="28"/>
          <w:szCs w:val="28"/>
        </w:rPr>
        <w:t>КАМЧАТСКОГО КРАЯ</w:t>
      </w:r>
    </w:p>
    <w:p w:rsidR="00F76EF9" w:rsidRPr="00FF3352" w:rsidRDefault="00F76EF9" w:rsidP="00F76EF9">
      <w:pPr>
        <w:jc w:val="center"/>
      </w:pPr>
    </w:p>
    <w:p w:rsidR="00F76EF9" w:rsidRPr="00FF3352" w:rsidRDefault="00F76EF9" w:rsidP="00F76EF9">
      <w:pPr>
        <w:jc w:val="center"/>
        <w:rPr>
          <w:b/>
          <w:sz w:val="28"/>
          <w:szCs w:val="28"/>
        </w:rPr>
      </w:pPr>
      <w:r w:rsidRPr="00FF3352">
        <w:rPr>
          <w:b/>
          <w:sz w:val="28"/>
          <w:szCs w:val="28"/>
        </w:rPr>
        <w:t>ПРИКАЗ</w:t>
      </w:r>
    </w:p>
    <w:p w:rsidR="00F76EF9" w:rsidRPr="00FF3352" w:rsidRDefault="00F76EF9" w:rsidP="008E4107">
      <w:pPr>
        <w:jc w:val="center"/>
        <w:rPr>
          <w:sz w:val="28"/>
          <w:szCs w:val="28"/>
        </w:rPr>
      </w:pPr>
    </w:p>
    <w:p w:rsidR="001C4098" w:rsidRPr="00FF3352"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RPr="00FF3352" w:rsidTr="00743315">
        <w:trPr>
          <w:trHeight w:val="427"/>
        </w:trPr>
        <w:tc>
          <w:tcPr>
            <w:tcW w:w="4253" w:type="dxa"/>
            <w:tcBorders>
              <w:top w:val="nil"/>
              <w:left w:val="nil"/>
              <w:right w:val="nil"/>
            </w:tcBorders>
            <w:tcMar>
              <w:left w:w="0" w:type="dxa"/>
              <w:right w:w="0" w:type="dxa"/>
            </w:tcMar>
          </w:tcPr>
          <w:p w:rsidR="0046569C" w:rsidRPr="00FF3352" w:rsidRDefault="0046569C" w:rsidP="00743315">
            <w:pPr>
              <w:ind w:left="142" w:hanging="142"/>
            </w:pPr>
            <w:bookmarkStart w:id="0" w:name="REGNUMDATESTAMP"/>
            <w:r w:rsidRPr="00FF3352">
              <w:rPr>
                <w:color w:val="FFFFFF"/>
              </w:rPr>
              <w:t>[Дата регистрации] № [Номер</w:t>
            </w:r>
            <w:r w:rsidRPr="00FF3352">
              <w:rPr>
                <w:color w:val="FFFFFF"/>
                <w:sz w:val="20"/>
              </w:rPr>
              <w:t xml:space="preserve"> документа</w:t>
            </w:r>
            <w:r w:rsidRPr="00FF3352">
              <w:rPr>
                <w:color w:val="FFFFFF"/>
              </w:rPr>
              <w:t>]</w:t>
            </w:r>
            <w:bookmarkEnd w:id="0"/>
          </w:p>
        </w:tc>
      </w:tr>
      <w:tr w:rsidR="0046569C" w:rsidRPr="00FF3352" w:rsidTr="00743315">
        <w:trPr>
          <w:trHeight w:val="247"/>
        </w:trPr>
        <w:tc>
          <w:tcPr>
            <w:tcW w:w="4253" w:type="dxa"/>
            <w:tcBorders>
              <w:left w:val="nil"/>
              <w:bottom w:val="nil"/>
              <w:right w:val="nil"/>
            </w:tcBorders>
            <w:tcMar>
              <w:left w:w="0" w:type="dxa"/>
              <w:right w:w="0" w:type="dxa"/>
            </w:tcMar>
          </w:tcPr>
          <w:p w:rsidR="0046569C" w:rsidRPr="00FF3352" w:rsidRDefault="0046569C" w:rsidP="00743315">
            <w:pPr>
              <w:jc w:val="center"/>
              <w:rPr>
                <w:u w:val="single"/>
              </w:rPr>
            </w:pPr>
            <w:r w:rsidRPr="00FF3352">
              <w:t>г. Петропавловск-Камчатский</w:t>
            </w:r>
          </w:p>
        </w:tc>
      </w:tr>
      <w:tr w:rsidR="0046569C" w:rsidRPr="00FF3352" w:rsidTr="00743315">
        <w:trPr>
          <w:trHeight w:val="80"/>
        </w:trPr>
        <w:tc>
          <w:tcPr>
            <w:tcW w:w="4253" w:type="dxa"/>
            <w:tcMar>
              <w:left w:w="0" w:type="dxa"/>
              <w:right w:w="0" w:type="dxa"/>
            </w:tcMar>
          </w:tcPr>
          <w:p w:rsidR="0046569C" w:rsidRPr="00FF3352" w:rsidRDefault="0046569C" w:rsidP="00743315">
            <w:pPr>
              <w:jc w:val="both"/>
              <w:rPr>
                <w:sz w:val="20"/>
              </w:rPr>
            </w:pPr>
          </w:p>
        </w:tc>
      </w:tr>
    </w:tbl>
    <w:p w:rsidR="00033533" w:rsidRPr="00FF3352"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RPr="00FF3352" w:rsidTr="00041215">
        <w:tc>
          <w:tcPr>
            <w:tcW w:w="9639" w:type="dxa"/>
          </w:tcPr>
          <w:p w:rsidR="00675AA1" w:rsidRPr="00FF3352" w:rsidRDefault="00451A7E" w:rsidP="00675AA1">
            <w:pPr>
              <w:ind w:left="30"/>
              <w:jc w:val="center"/>
              <w:rPr>
                <w:b/>
                <w:sz w:val="28"/>
                <w:szCs w:val="28"/>
              </w:rPr>
            </w:pPr>
            <w:r w:rsidRPr="00FF3352">
              <w:rPr>
                <w:b/>
                <w:sz w:val="28"/>
                <w:szCs w:val="28"/>
              </w:rPr>
              <w:t>О внесении изменени</w:t>
            </w:r>
            <w:r w:rsidR="00FF3352" w:rsidRPr="00FF3352">
              <w:rPr>
                <w:b/>
                <w:sz w:val="28"/>
                <w:szCs w:val="28"/>
              </w:rPr>
              <w:t>й</w:t>
            </w:r>
            <w:r w:rsidR="00675AA1" w:rsidRPr="00FF3352">
              <w:rPr>
                <w:b/>
                <w:sz w:val="28"/>
                <w:szCs w:val="28"/>
              </w:rPr>
              <w:t xml:space="preserve"> в Перечень главных администраторов </w:t>
            </w:r>
          </w:p>
          <w:p w:rsidR="006E593A" w:rsidRPr="00FF3352" w:rsidRDefault="00675AA1" w:rsidP="00675AA1">
            <w:pPr>
              <w:ind w:left="30"/>
              <w:jc w:val="center"/>
              <w:rPr>
                <w:b/>
                <w:sz w:val="28"/>
                <w:szCs w:val="28"/>
              </w:rPr>
            </w:pPr>
            <w:r w:rsidRPr="00FF3352">
              <w:rPr>
                <w:b/>
                <w:sz w:val="28"/>
                <w:szCs w:val="28"/>
              </w:rPr>
              <w:t>доходов краевого бюджета</w:t>
            </w:r>
          </w:p>
        </w:tc>
      </w:tr>
    </w:tbl>
    <w:p w:rsidR="004549E8" w:rsidRPr="00FF3352" w:rsidRDefault="004549E8" w:rsidP="008F2B2C">
      <w:pPr>
        <w:ind w:firstLine="709"/>
        <w:jc w:val="both"/>
        <w:rPr>
          <w:sz w:val="28"/>
          <w:szCs w:val="28"/>
        </w:rPr>
      </w:pPr>
    </w:p>
    <w:p w:rsidR="004E00B2" w:rsidRPr="00FF3352" w:rsidRDefault="004E00B2" w:rsidP="008F2B2C">
      <w:pPr>
        <w:ind w:firstLine="709"/>
        <w:jc w:val="both"/>
        <w:rPr>
          <w:sz w:val="28"/>
          <w:szCs w:val="28"/>
        </w:rPr>
      </w:pPr>
    </w:p>
    <w:p w:rsidR="004549E8" w:rsidRPr="00FF3352" w:rsidRDefault="00675AA1" w:rsidP="00F8207B">
      <w:pPr>
        <w:ind w:firstLine="709"/>
        <w:jc w:val="both"/>
        <w:rPr>
          <w:sz w:val="28"/>
          <w:szCs w:val="28"/>
        </w:rPr>
      </w:pPr>
      <w:r w:rsidRPr="00FF3352">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bookmarkStart w:id="1" w:name="_GoBack"/>
      <w:bookmarkEnd w:id="1"/>
    </w:p>
    <w:p w:rsidR="008D7127" w:rsidRPr="00FF3352" w:rsidRDefault="008D7127" w:rsidP="00F8207B">
      <w:pPr>
        <w:ind w:firstLine="709"/>
        <w:jc w:val="both"/>
        <w:rPr>
          <w:sz w:val="28"/>
          <w:szCs w:val="28"/>
        </w:rPr>
      </w:pPr>
    </w:p>
    <w:p w:rsidR="004549E8" w:rsidRPr="00FF3352" w:rsidRDefault="00F76EF9" w:rsidP="00F8207B">
      <w:pPr>
        <w:ind w:firstLine="709"/>
        <w:jc w:val="both"/>
        <w:rPr>
          <w:sz w:val="28"/>
          <w:szCs w:val="28"/>
        </w:rPr>
      </w:pPr>
      <w:r w:rsidRPr="00FF3352">
        <w:rPr>
          <w:sz w:val="28"/>
          <w:szCs w:val="28"/>
        </w:rPr>
        <w:t>ПРИКАЗЫВАЮ</w:t>
      </w:r>
      <w:r w:rsidR="00576D34" w:rsidRPr="00FF3352">
        <w:rPr>
          <w:sz w:val="28"/>
          <w:szCs w:val="28"/>
        </w:rPr>
        <w:t>:</w:t>
      </w:r>
    </w:p>
    <w:p w:rsidR="00033533" w:rsidRPr="00FF3352" w:rsidRDefault="00033533" w:rsidP="00F8207B">
      <w:pPr>
        <w:ind w:firstLine="709"/>
        <w:jc w:val="both"/>
        <w:rPr>
          <w:sz w:val="28"/>
          <w:szCs w:val="28"/>
        </w:rPr>
      </w:pPr>
    </w:p>
    <w:p w:rsidR="002428F6" w:rsidRPr="00FF3352" w:rsidRDefault="00675AA1" w:rsidP="00A863A5">
      <w:pPr>
        <w:ind w:firstLine="709"/>
        <w:contextualSpacing/>
        <w:jc w:val="both"/>
        <w:rPr>
          <w:sz w:val="28"/>
          <w:szCs w:val="28"/>
        </w:rPr>
      </w:pPr>
      <w:r w:rsidRPr="00FF3352">
        <w:rPr>
          <w:sz w:val="28"/>
          <w:szCs w:val="28"/>
        </w:rPr>
        <w:t xml:space="preserve">1. Внести в </w:t>
      </w:r>
      <w:r w:rsidR="005A41EA" w:rsidRPr="00FF3352">
        <w:rPr>
          <w:sz w:val="28"/>
          <w:szCs w:val="28"/>
        </w:rPr>
        <w:t>П</w:t>
      </w:r>
      <w:r w:rsidRPr="00FF3352">
        <w:rPr>
          <w:sz w:val="28"/>
          <w:szCs w:val="28"/>
        </w:rPr>
        <w:t>еречень главных администраторов доходов краевого бюджета, утвержденный постановлением Правительства Камчатск</w:t>
      </w:r>
      <w:r w:rsidR="001D1202" w:rsidRPr="00FF3352">
        <w:rPr>
          <w:sz w:val="28"/>
          <w:szCs w:val="28"/>
        </w:rPr>
        <w:t xml:space="preserve">ого края </w:t>
      </w:r>
      <w:r w:rsidR="001D1202" w:rsidRPr="00FF3352">
        <w:rPr>
          <w:sz w:val="28"/>
          <w:szCs w:val="28"/>
        </w:rPr>
        <w:br/>
        <w:t>от 27.12.2021 № 581-П</w:t>
      </w:r>
      <w:r w:rsidR="00851AC4" w:rsidRPr="00FF3352">
        <w:rPr>
          <w:sz w:val="28"/>
          <w:szCs w:val="28"/>
        </w:rPr>
        <w:t xml:space="preserve"> «</w:t>
      </w:r>
      <w:r w:rsidR="00D048DA" w:rsidRPr="00FF3352">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FF3352">
        <w:rPr>
          <w:sz w:val="28"/>
          <w:szCs w:val="28"/>
        </w:rPr>
        <w:t xml:space="preserve">, </w:t>
      </w:r>
      <w:r w:rsidR="00A863A5" w:rsidRPr="00A863A5">
        <w:rPr>
          <w:sz w:val="28"/>
          <w:szCs w:val="28"/>
        </w:rPr>
        <w:t>изменения, дополнив кодами бюджетной классификации Российской Федерации следующего содержания</w:t>
      </w:r>
      <w:r w:rsidR="002428F6" w:rsidRPr="00FF3352">
        <w:rPr>
          <w:sz w:val="28"/>
          <w:szCs w:val="28"/>
        </w:rPr>
        <w:t>:</w:t>
      </w:r>
    </w:p>
    <w:p w:rsidR="00AE358A" w:rsidRPr="00FF3352" w:rsidRDefault="00BE6B46" w:rsidP="00A863A5">
      <w:pPr>
        <w:pStyle w:val="ad"/>
        <w:numPr>
          <w:ilvl w:val="0"/>
          <w:numId w:val="1"/>
        </w:numPr>
        <w:ind w:left="0" w:firstLine="709"/>
        <w:jc w:val="both"/>
        <w:rPr>
          <w:rFonts w:ascii="Times New Roman" w:hAnsi="Times New Roman" w:cs="Times New Roman"/>
          <w:sz w:val="28"/>
          <w:szCs w:val="28"/>
        </w:rPr>
      </w:pPr>
      <w:r w:rsidRPr="00FF3352">
        <w:rPr>
          <w:rFonts w:ascii="Times New Roman" w:hAnsi="Times New Roman" w:cs="Times New Roman"/>
          <w:sz w:val="28"/>
          <w:szCs w:val="28"/>
        </w:rPr>
        <w:t>«</w:t>
      </w:r>
      <w:r w:rsidR="00A863A5">
        <w:rPr>
          <w:rFonts w:ascii="Times New Roman" w:hAnsi="Times New Roman" w:cs="Times New Roman"/>
          <w:sz w:val="28"/>
          <w:szCs w:val="28"/>
        </w:rPr>
        <w:t>1 14 02022 02 0</w:t>
      </w:r>
      <w:r w:rsidR="00A863A5" w:rsidRPr="00A863A5">
        <w:rPr>
          <w:rFonts w:ascii="Times New Roman" w:hAnsi="Times New Roman" w:cs="Times New Roman"/>
          <w:sz w:val="28"/>
          <w:szCs w:val="28"/>
        </w:rPr>
        <w:t>000 410</w:t>
      </w:r>
      <w:r w:rsidR="00A220ED" w:rsidRPr="00FF3352">
        <w:rPr>
          <w:rFonts w:ascii="Times New Roman" w:hAnsi="Times New Roman" w:cs="Times New Roman"/>
          <w:sz w:val="28"/>
          <w:szCs w:val="28"/>
        </w:rPr>
        <w:t xml:space="preserve"> </w:t>
      </w:r>
      <w:r w:rsidR="00A863A5" w:rsidRPr="00A863A5">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r w:rsidR="00675AA1" w:rsidRPr="00FF3352">
        <w:rPr>
          <w:rFonts w:ascii="Times New Roman" w:hAnsi="Times New Roman" w:cs="Times New Roman"/>
          <w:sz w:val="28"/>
          <w:szCs w:val="28"/>
        </w:rPr>
        <w:t>»</w:t>
      </w:r>
      <w:r w:rsidR="00FF3352" w:rsidRPr="00FF3352">
        <w:rPr>
          <w:rFonts w:ascii="Times New Roman" w:hAnsi="Times New Roman" w:cs="Times New Roman"/>
          <w:sz w:val="28"/>
          <w:szCs w:val="28"/>
        </w:rPr>
        <w:t>;</w:t>
      </w:r>
    </w:p>
    <w:p w:rsidR="001C0EE4" w:rsidRDefault="00FF3352" w:rsidP="00FF3352">
      <w:pPr>
        <w:pStyle w:val="ad"/>
        <w:numPr>
          <w:ilvl w:val="0"/>
          <w:numId w:val="1"/>
        </w:numPr>
        <w:spacing w:after="0"/>
        <w:ind w:left="0" w:firstLine="709"/>
        <w:jc w:val="both"/>
        <w:rPr>
          <w:rFonts w:ascii="Times New Roman" w:hAnsi="Times New Roman" w:cs="Times New Roman"/>
          <w:sz w:val="28"/>
          <w:szCs w:val="28"/>
        </w:rPr>
      </w:pPr>
      <w:r w:rsidRPr="00FF3352">
        <w:rPr>
          <w:rFonts w:ascii="Times New Roman" w:hAnsi="Times New Roman" w:cs="Times New Roman"/>
          <w:sz w:val="28"/>
          <w:szCs w:val="28"/>
        </w:rPr>
        <w:t>«</w:t>
      </w:r>
      <w:r w:rsidR="00A863A5" w:rsidRPr="00A863A5">
        <w:rPr>
          <w:rFonts w:ascii="Times New Roman" w:hAnsi="Times New Roman" w:cs="Times New Roman"/>
          <w:sz w:val="28"/>
          <w:szCs w:val="28"/>
        </w:rPr>
        <w:t>1 16 07010 02 0000 140</w:t>
      </w:r>
      <w:r w:rsidRPr="00FF3352">
        <w:rPr>
          <w:rFonts w:ascii="Times New Roman" w:hAnsi="Times New Roman" w:cs="Times New Roman"/>
          <w:sz w:val="28"/>
          <w:szCs w:val="28"/>
        </w:rPr>
        <w:t xml:space="preserve"> </w:t>
      </w:r>
      <w:r w:rsidR="00A863A5" w:rsidRPr="00A863A5">
        <w:rPr>
          <w:rFonts w:ascii="Times New Roman" w:hAnsi="Times New Roman" w:cs="Times New Roman"/>
          <w:sz w:val="28"/>
          <w:szCs w:val="28"/>
        </w:rPr>
        <w:t xml:space="preserve">Штрафы, неустойки, пени, уплаченные в случае просрочки исполнения поставщиком (подрядчиком, исполнителем) </w:t>
      </w:r>
      <w:r w:rsidR="00A863A5" w:rsidRPr="00A863A5">
        <w:rPr>
          <w:rFonts w:ascii="Times New Roman" w:hAnsi="Times New Roman" w:cs="Times New Roman"/>
          <w:sz w:val="28"/>
          <w:szCs w:val="28"/>
        </w:rPr>
        <w:lastRenderedPageBreak/>
        <w:t>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sidR="003F7968">
        <w:rPr>
          <w:rFonts w:ascii="Times New Roman" w:hAnsi="Times New Roman" w:cs="Times New Roman"/>
          <w:sz w:val="28"/>
          <w:szCs w:val="28"/>
        </w:rPr>
        <w:t>»</w:t>
      </w:r>
      <w:r w:rsidR="001C0EE4" w:rsidRPr="001C0EE4">
        <w:rPr>
          <w:rFonts w:ascii="Times New Roman" w:hAnsi="Times New Roman" w:cs="Times New Roman"/>
          <w:sz w:val="28"/>
          <w:szCs w:val="28"/>
        </w:rPr>
        <w:t>;</w:t>
      </w:r>
    </w:p>
    <w:p w:rsidR="00FF3352" w:rsidRPr="00FF3352" w:rsidRDefault="001C0EE4" w:rsidP="00FF3352">
      <w:pPr>
        <w:pStyle w:val="ad"/>
        <w:numPr>
          <w:ilvl w:val="0"/>
          <w:numId w:val="1"/>
        </w:numPr>
        <w:spacing w:after="0"/>
        <w:ind w:left="0" w:firstLine="709"/>
        <w:jc w:val="both"/>
        <w:rPr>
          <w:rFonts w:ascii="Times New Roman" w:hAnsi="Times New Roman" w:cs="Times New Roman"/>
          <w:sz w:val="28"/>
          <w:szCs w:val="28"/>
        </w:rPr>
      </w:pPr>
      <w:r w:rsidRPr="001C0EE4">
        <w:rPr>
          <w:rFonts w:ascii="Times New Roman" w:hAnsi="Times New Roman" w:cs="Times New Roman"/>
          <w:sz w:val="28"/>
          <w:szCs w:val="28"/>
        </w:rPr>
        <w:t>«</w:t>
      </w:r>
      <w:r w:rsidR="00A863A5" w:rsidRPr="00A863A5">
        <w:rPr>
          <w:rFonts w:ascii="Times New Roman" w:hAnsi="Times New Roman" w:cs="Times New Roman"/>
          <w:sz w:val="28"/>
          <w:szCs w:val="28"/>
        </w:rPr>
        <w:t>1 16 07090 02 0000 140</w:t>
      </w:r>
      <w:r w:rsidR="00A863A5">
        <w:rPr>
          <w:rFonts w:ascii="Times New Roman" w:hAnsi="Times New Roman" w:cs="Times New Roman"/>
          <w:sz w:val="28"/>
          <w:szCs w:val="28"/>
        </w:rPr>
        <w:t xml:space="preserve"> </w:t>
      </w:r>
      <w:r w:rsidR="00A863A5" w:rsidRPr="00A863A5">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rFonts w:ascii="Times New Roman" w:hAnsi="Times New Roman" w:cs="Times New Roman"/>
          <w:sz w:val="28"/>
          <w:szCs w:val="28"/>
        </w:rPr>
        <w:t>»</w:t>
      </w:r>
      <w:r w:rsidRPr="001C0EE4">
        <w:rPr>
          <w:rFonts w:ascii="Times New Roman" w:hAnsi="Times New Roman" w:cs="Times New Roman"/>
          <w:sz w:val="28"/>
          <w:szCs w:val="28"/>
        </w:rPr>
        <w:t>.</w:t>
      </w:r>
    </w:p>
    <w:p w:rsidR="00FF3352" w:rsidRPr="00FF3352" w:rsidRDefault="00FF3352" w:rsidP="00FF3352">
      <w:pPr>
        <w:ind w:firstLine="709"/>
        <w:contextualSpacing/>
        <w:jc w:val="both"/>
        <w:rPr>
          <w:sz w:val="28"/>
          <w:szCs w:val="28"/>
        </w:rPr>
      </w:pPr>
      <w:r w:rsidRPr="00FF3352">
        <w:rPr>
          <w:sz w:val="28"/>
          <w:szCs w:val="28"/>
        </w:rPr>
        <w:t>2. Главными администраторами доходов считать:</w:t>
      </w:r>
    </w:p>
    <w:p w:rsidR="00FF3352" w:rsidRPr="00FF3352" w:rsidRDefault="00FF3352" w:rsidP="00FF3352">
      <w:pPr>
        <w:ind w:firstLine="709"/>
        <w:contextualSpacing/>
        <w:jc w:val="both"/>
        <w:rPr>
          <w:sz w:val="28"/>
          <w:szCs w:val="28"/>
        </w:rPr>
      </w:pPr>
      <w:r w:rsidRPr="00FF3352">
        <w:rPr>
          <w:sz w:val="28"/>
          <w:szCs w:val="28"/>
        </w:rPr>
        <w:t xml:space="preserve">1) по доходам, указанным в пункте 1 части 1 настоящего приказа, – Министерство </w:t>
      </w:r>
      <w:r w:rsidR="00A863A5">
        <w:rPr>
          <w:sz w:val="28"/>
          <w:szCs w:val="28"/>
        </w:rPr>
        <w:t xml:space="preserve">цифрового развития </w:t>
      </w:r>
      <w:r w:rsidRPr="00FF3352">
        <w:rPr>
          <w:sz w:val="28"/>
          <w:szCs w:val="28"/>
        </w:rPr>
        <w:t>Камчатского края, код главного администратора доходов 8</w:t>
      </w:r>
      <w:r w:rsidR="00A863A5">
        <w:rPr>
          <w:sz w:val="28"/>
          <w:szCs w:val="28"/>
        </w:rPr>
        <w:t>20</w:t>
      </w:r>
      <w:r w:rsidRPr="00FF3352">
        <w:rPr>
          <w:sz w:val="28"/>
          <w:szCs w:val="28"/>
        </w:rPr>
        <w:t>;</w:t>
      </w:r>
    </w:p>
    <w:p w:rsidR="001C0EE4" w:rsidRDefault="00FF3352" w:rsidP="00A863A5">
      <w:pPr>
        <w:ind w:firstLine="709"/>
        <w:contextualSpacing/>
        <w:jc w:val="both"/>
        <w:rPr>
          <w:sz w:val="28"/>
          <w:szCs w:val="28"/>
        </w:rPr>
      </w:pPr>
      <w:r w:rsidRPr="00FF3352">
        <w:rPr>
          <w:sz w:val="28"/>
          <w:szCs w:val="28"/>
        </w:rPr>
        <w:t xml:space="preserve">2) по доходам, указанным в </w:t>
      </w:r>
      <w:r w:rsidR="00A863A5">
        <w:rPr>
          <w:sz w:val="28"/>
          <w:szCs w:val="28"/>
        </w:rPr>
        <w:t>пунктах</w:t>
      </w:r>
      <w:r w:rsidRPr="00FF3352">
        <w:rPr>
          <w:sz w:val="28"/>
          <w:szCs w:val="28"/>
        </w:rPr>
        <w:t xml:space="preserve"> </w:t>
      </w:r>
      <w:r>
        <w:rPr>
          <w:sz w:val="28"/>
          <w:szCs w:val="28"/>
        </w:rPr>
        <w:t>2</w:t>
      </w:r>
      <w:r w:rsidR="00A863A5">
        <w:rPr>
          <w:sz w:val="28"/>
          <w:szCs w:val="28"/>
        </w:rPr>
        <w:t>-3</w:t>
      </w:r>
      <w:r w:rsidRPr="00FF3352">
        <w:rPr>
          <w:sz w:val="28"/>
          <w:szCs w:val="28"/>
        </w:rPr>
        <w:t xml:space="preserve"> части 1 настоящего приказа, – Министерство </w:t>
      </w:r>
      <w:r w:rsidR="00A863A5">
        <w:rPr>
          <w:sz w:val="28"/>
          <w:szCs w:val="28"/>
        </w:rPr>
        <w:t xml:space="preserve">сельского хозяйства, пищевой и перерабатывающей промышленности </w:t>
      </w:r>
      <w:r w:rsidRPr="00FF3352">
        <w:rPr>
          <w:sz w:val="28"/>
          <w:szCs w:val="28"/>
        </w:rPr>
        <w:t>Камчатского края, код главного администратора доходов 8</w:t>
      </w:r>
      <w:r w:rsidR="00A863A5">
        <w:rPr>
          <w:sz w:val="28"/>
          <w:szCs w:val="28"/>
        </w:rPr>
        <w:t>07</w:t>
      </w:r>
      <w:r w:rsidR="001C0EE4">
        <w:rPr>
          <w:sz w:val="28"/>
          <w:szCs w:val="28"/>
        </w:rPr>
        <w:t>.</w:t>
      </w:r>
    </w:p>
    <w:p w:rsidR="00675AA1" w:rsidRPr="00FF3352" w:rsidRDefault="00F47390" w:rsidP="00675AA1">
      <w:pPr>
        <w:ind w:firstLine="709"/>
        <w:contextualSpacing/>
        <w:jc w:val="both"/>
        <w:rPr>
          <w:sz w:val="28"/>
          <w:szCs w:val="28"/>
        </w:rPr>
      </w:pPr>
      <w:r w:rsidRPr="00FF3352">
        <w:rPr>
          <w:sz w:val="28"/>
          <w:szCs w:val="28"/>
        </w:rPr>
        <w:t>3</w:t>
      </w:r>
      <w:r w:rsidR="00675AA1" w:rsidRPr="00FF3352">
        <w:rPr>
          <w:sz w:val="28"/>
          <w:szCs w:val="28"/>
        </w:rPr>
        <w:t xml:space="preserve">. </w:t>
      </w:r>
      <w:r w:rsidR="00F16B78" w:rsidRPr="00FF3352">
        <w:rPr>
          <w:sz w:val="28"/>
          <w:szCs w:val="28"/>
        </w:rPr>
        <w:t>Настоящий приказ вступает в силу после дня его официального опубликования</w:t>
      </w:r>
      <w:r w:rsidR="00F15B3B" w:rsidRPr="00FF3352">
        <w:rPr>
          <w:sz w:val="28"/>
          <w:szCs w:val="28"/>
        </w:rPr>
        <w:t>.</w:t>
      </w:r>
    </w:p>
    <w:p w:rsidR="00F76EF9" w:rsidRPr="00FF3352" w:rsidRDefault="00F76EF9" w:rsidP="008F2B2C">
      <w:pPr>
        <w:ind w:firstLine="709"/>
        <w:jc w:val="both"/>
        <w:rPr>
          <w:sz w:val="28"/>
          <w:szCs w:val="28"/>
        </w:rPr>
      </w:pPr>
    </w:p>
    <w:p w:rsidR="00F76EF9" w:rsidRPr="00FF3352" w:rsidRDefault="00F76EF9" w:rsidP="008F2B2C">
      <w:pPr>
        <w:ind w:firstLine="709"/>
        <w:jc w:val="both"/>
        <w:rPr>
          <w:bCs/>
          <w:sz w:val="28"/>
          <w:szCs w:val="28"/>
        </w:rPr>
      </w:pPr>
    </w:p>
    <w:p w:rsidR="0041648F" w:rsidRPr="00FF3352"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RPr="00FF3352" w:rsidTr="00EB33FA">
        <w:trPr>
          <w:trHeight w:val="1013"/>
        </w:trPr>
        <w:tc>
          <w:tcPr>
            <w:tcW w:w="3029" w:type="dxa"/>
            <w:shd w:val="clear" w:color="auto" w:fill="auto"/>
            <w:tcMar>
              <w:left w:w="0" w:type="dxa"/>
              <w:right w:w="0" w:type="dxa"/>
            </w:tcMar>
          </w:tcPr>
          <w:p w:rsidR="0046569C" w:rsidRPr="00FF3352" w:rsidRDefault="009E0173" w:rsidP="0046569C">
            <w:pPr>
              <w:ind w:right="27"/>
            </w:pPr>
            <w:proofErr w:type="spellStart"/>
            <w:r w:rsidRPr="00FF3352">
              <w:rPr>
                <w:sz w:val="28"/>
              </w:rPr>
              <w:t>И.о</w:t>
            </w:r>
            <w:proofErr w:type="spellEnd"/>
            <w:r w:rsidRPr="00FF3352">
              <w:rPr>
                <w:sz w:val="28"/>
              </w:rPr>
              <w:t xml:space="preserve">. </w:t>
            </w:r>
            <w:r w:rsidR="0046569C" w:rsidRPr="00FF3352">
              <w:rPr>
                <w:sz w:val="28"/>
              </w:rPr>
              <w:t>Министр</w:t>
            </w:r>
            <w:r w:rsidRPr="00FF3352">
              <w:rPr>
                <w:sz w:val="28"/>
              </w:rPr>
              <w:t>а</w:t>
            </w:r>
          </w:p>
          <w:p w:rsidR="0046569C" w:rsidRPr="00FF3352" w:rsidRDefault="0046569C" w:rsidP="00743315">
            <w:pPr>
              <w:ind w:left="30" w:right="27"/>
            </w:pPr>
          </w:p>
        </w:tc>
        <w:tc>
          <w:tcPr>
            <w:tcW w:w="4472" w:type="dxa"/>
            <w:shd w:val="clear" w:color="auto" w:fill="auto"/>
            <w:tcMar>
              <w:left w:w="0" w:type="dxa"/>
              <w:right w:w="0" w:type="dxa"/>
            </w:tcMar>
          </w:tcPr>
          <w:p w:rsidR="0046569C" w:rsidRPr="00FF3352" w:rsidRDefault="0046569C" w:rsidP="0046569C">
            <w:pPr>
              <w:rPr>
                <w:color w:val="000000" w:themeColor="text1"/>
              </w:rPr>
            </w:pPr>
            <w:bookmarkStart w:id="2" w:name="SIGNERSTAMP1"/>
            <w:r w:rsidRPr="00FF3352">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Pr="00FF3352" w:rsidRDefault="009E0173" w:rsidP="009E0173">
            <w:pPr>
              <w:jc w:val="right"/>
            </w:pPr>
            <w:proofErr w:type="spellStart"/>
            <w:r w:rsidRPr="00FF3352">
              <w:rPr>
                <w:sz w:val="28"/>
              </w:rPr>
              <w:t>Л.В</w:t>
            </w:r>
            <w:proofErr w:type="spellEnd"/>
            <w:r w:rsidR="00675AA1" w:rsidRPr="00FF3352">
              <w:rPr>
                <w:sz w:val="28"/>
              </w:rPr>
              <w:t xml:space="preserve">. </w:t>
            </w:r>
            <w:r w:rsidRPr="00FF3352">
              <w:rPr>
                <w:sz w:val="28"/>
              </w:rPr>
              <w:t>Алексеева</w:t>
            </w:r>
          </w:p>
        </w:tc>
      </w:tr>
    </w:tbl>
    <w:p w:rsidR="00FD6D8F" w:rsidRPr="00FF3352" w:rsidRDefault="00FD6D8F" w:rsidP="00EB33FA">
      <w:pPr>
        <w:jc w:val="both"/>
      </w:pPr>
    </w:p>
    <w:sectPr w:rsidR="00FD6D8F" w:rsidRPr="00FF3352" w:rsidSect="001A102A">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FB" w:rsidRDefault="00BC0AFB" w:rsidP="0031799B">
      <w:r>
        <w:separator/>
      </w:r>
    </w:p>
  </w:endnote>
  <w:endnote w:type="continuationSeparator" w:id="0">
    <w:p w:rsidR="00BC0AFB" w:rsidRDefault="00BC0AFB"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FB" w:rsidRDefault="00BC0AFB" w:rsidP="0031799B">
      <w:r>
        <w:separator/>
      </w:r>
    </w:p>
  </w:footnote>
  <w:footnote w:type="continuationSeparator" w:id="0">
    <w:p w:rsidR="00BC0AFB" w:rsidRDefault="00BC0AFB"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A863A5">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1646"/>
    <w:multiLevelType w:val="hybridMultilevel"/>
    <w:tmpl w:val="F44A5240"/>
    <w:lvl w:ilvl="0" w:tplc="BE94ED6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4543"/>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0EE4"/>
    <w:rsid w:val="001C15D6"/>
    <w:rsid w:val="001C4098"/>
    <w:rsid w:val="001D00F5"/>
    <w:rsid w:val="001D1202"/>
    <w:rsid w:val="001D4724"/>
    <w:rsid w:val="001F2DBF"/>
    <w:rsid w:val="00212D10"/>
    <w:rsid w:val="00213104"/>
    <w:rsid w:val="00227070"/>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3F796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36B5"/>
    <w:rsid w:val="00776C8D"/>
    <w:rsid w:val="007A40C8"/>
    <w:rsid w:val="007B3851"/>
    <w:rsid w:val="007C4604"/>
    <w:rsid w:val="007D3340"/>
    <w:rsid w:val="007D640B"/>
    <w:rsid w:val="007D746A"/>
    <w:rsid w:val="007E7ADA"/>
    <w:rsid w:val="007F041D"/>
    <w:rsid w:val="007F3D5B"/>
    <w:rsid w:val="007F7A62"/>
    <w:rsid w:val="008004DC"/>
    <w:rsid w:val="00812B9A"/>
    <w:rsid w:val="00824E50"/>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0173"/>
    <w:rsid w:val="009E6910"/>
    <w:rsid w:val="009E69C7"/>
    <w:rsid w:val="009F320C"/>
    <w:rsid w:val="00A2020A"/>
    <w:rsid w:val="00A220ED"/>
    <w:rsid w:val="00A43195"/>
    <w:rsid w:val="00A435F2"/>
    <w:rsid w:val="00A538B9"/>
    <w:rsid w:val="00A576F6"/>
    <w:rsid w:val="00A61C33"/>
    <w:rsid w:val="00A62087"/>
    <w:rsid w:val="00A623AD"/>
    <w:rsid w:val="00A7128F"/>
    <w:rsid w:val="00A8215E"/>
    <w:rsid w:val="00A8227F"/>
    <w:rsid w:val="00A834AC"/>
    <w:rsid w:val="00A84370"/>
    <w:rsid w:val="00A86239"/>
    <w:rsid w:val="00A863A5"/>
    <w:rsid w:val="00A94650"/>
    <w:rsid w:val="00AA1293"/>
    <w:rsid w:val="00AB3ECC"/>
    <w:rsid w:val="00AB5BD3"/>
    <w:rsid w:val="00AB748D"/>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C0AFB"/>
    <w:rsid w:val="00BD13FF"/>
    <w:rsid w:val="00BD652A"/>
    <w:rsid w:val="00BE1E47"/>
    <w:rsid w:val="00BE6B46"/>
    <w:rsid w:val="00BF2975"/>
    <w:rsid w:val="00BF3269"/>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0461"/>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37B2"/>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E6060"/>
    <w:rsid w:val="00FF1F42"/>
    <w:rsid w:val="00FF2ED1"/>
    <w:rsid w:val="00FF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447A"/>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semiHidden/>
    <w:unhideWhenUsed/>
    <w:rsid w:val="000E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651446485">
      <w:bodyDiv w:val="1"/>
      <w:marLeft w:val="0"/>
      <w:marRight w:val="0"/>
      <w:marTop w:val="0"/>
      <w:marBottom w:val="0"/>
      <w:divBdr>
        <w:top w:val="none" w:sz="0" w:space="0" w:color="auto"/>
        <w:left w:val="none" w:sz="0" w:space="0" w:color="auto"/>
        <w:bottom w:val="none" w:sz="0" w:space="0" w:color="auto"/>
        <w:right w:val="none" w:sz="0" w:space="0" w:color="auto"/>
      </w:divBdr>
    </w:div>
    <w:div w:id="657995802">
      <w:bodyDiv w:val="1"/>
      <w:marLeft w:val="0"/>
      <w:marRight w:val="0"/>
      <w:marTop w:val="0"/>
      <w:marBottom w:val="0"/>
      <w:divBdr>
        <w:top w:val="none" w:sz="0" w:space="0" w:color="auto"/>
        <w:left w:val="none" w:sz="0" w:space="0" w:color="auto"/>
        <w:bottom w:val="none" w:sz="0" w:space="0" w:color="auto"/>
        <w:right w:val="none" w:sz="0" w:space="0" w:color="auto"/>
      </w:divBdr>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64962442">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12405360">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7089-14BF-46C4-A924-0D856E4D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65</cp:revision>
  <cp:lastPrinted>2023-09-12T23:14:00Z</cp:lastPrinted>
  <dcterms:created xsi:type="dcterms:W3CDTF">2023-09-12T23:18:00Z</dcterms:created>
  <dcterms:modified xsi:type="dcterms:W3CDTF">2024-06-17T02:16:00Z</dcterms:modified>
</cp:coreProperties>
</file>