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8D" w:rsidRPr="00FD3449" w:rsidRDefault="008D3D42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3449">
        <w:rPr>
          <w:rFonts w:ascii="Times New Roman" w:hAnsi="Times New Roman" w:cs="Times New Roman"/>
          <w:sz w:val="28"/>
          <w:szCs w:val="28"/>
        </w:rPr>
        <w:t>ПРОЕКТ</w:t>
      </w:r>
    </w:p>
    <w:p w:rsidR="009B188D" w:rsidRDefault="009B188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B188D" w:rsidRPr="00FD3449" w:rsidRDefault="008D3D4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3449">
        <w:rPr>
          <w:rFonts w:ascii="Times New Roman" w:hAnsi="Times New Roman" w:cs="Times New Roman"/>
          <w:b/>
          <w:sz w:val="24"/>
          <w:szCs w:val="24"/>
        </w:rPr>
        <w:t>4</w:t>
      </w:r>
      <w:r w:rsidR="00FD3449" w:rsidRPr="00FD3449">
        <w:rPr>
          <w:rFonts w:ascii="Times New Roman" w:hAnsi="Times New Roman" w:cs="Times New Roman"/>
          <w:b/>
          <w:sz w:val="24"/>
          <w:szCs w:val="24"/>
        </w:rPr>
        <w:t>2</w:t>
      </w:r>
      <w:r w:rsidRPr="00FD3449">
        <w:rPr>
          <w:rFonts w:ascii="Times New Roman" w:hAnsi="Times New Roman" w:cs="Times New Roman"/>
          <w:b/>
          <w:sz w:val="24"/>
          <w:szCs w:val="24"/>
        </w:rPr>
        <w:t>.3.</w:t>
      </w:r>
      <w:r w:rsidR="00A66392">
        <w:rPr>
          <w:rFonts w:ascii="Times New Roman" w:hAnsi="Times New Roman" w:cs="Times New Roman"/>
          <w:b/>
          <w:sz w:val="24"/>
          <w:szCs w:val="24"/>
        </w:rPr>
        <w:t>21</w:t>
      </w:r>
      <w:bookmarkStart w:id="0" w:name="_GoBack"/>
      <w:bookmarkEnd w:id="0"/>
      <w:r w:rsidRPr="00FD3449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CC5AFB" w:rsidRDefault="008D3D42" w:rsidP="00CC5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449">
        <w:rPr>
          <w:rFonts w:ascii="Times New Roman" w:hAnsi="Times New Roman" w:cs="Times New Roman"/>
          <w:b/>
          <w:sz w:val="24"/>
          <w:szCs w:val="24"/>
        </w:rPr>
        <w:t>РАСЧЕТА СУБСИДИЙ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МЕСТНЫМ БЮДЖЕТАМ</w:t>
      </w:r>
      <w:r w:rsidR="00CC5AF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188D" w:rsidRDefault="00CC5AFB" w:rsidP="00FD34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КРАЕВОГО БЮДЖЕТА </w:t>
      </w:r>
      <w:r w:rsidR="008D3D42">
        <w:rPr>
          <w:rFonts w:ascii="Times New Roman" w:hAnsi="Times New Roman" w:cs="Times New Roman"/>
          <w:b/>
          <w:sz w:val="24"/>
          <w:szCs w:val="24"/>
        </w:rPr>
        <w:t>НА ПРОВЕДЕНИЕ РЕМОНТНЫХ РАБОТ В АУДИТОРИЯХ, ГДЕ ПРЕДПОЛАГАЕТСЯ УСТАНОВКА ЗАКУПЛЕННОГО ОБОРУДОВАНИЯ ДЛЯ Ц</w:t>
      </w:r>
      <w:r w:rsidR="00FD3449">
        <w:rPr>
          <w:rFonts w:ascii="Times New Roman" w:hAnsi="Times New Roman" w:cs="Times New Roman"/>
          <w:b/>
          <w:sz w:val="24"/>
          <w:szCs w:val="24"/>
        </w:rPr>
        <w:t>ЕНТРА ОБРАЗОВАНИЯ «ТОЧКА РОСТА»</w:t>
      </w:r>
      <w:r w:rsidR="008D3D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3449" w:rsidRDefault="00FD3449" w:rsidP="00FD34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88D" w:rsidRDefault="008D3D42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Размер субсидии местному бюджету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ремонтных работ в аудиториях, где предполагается установка закупленного оборудования для центра образования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Точка роста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определяется по формуле:</w:t>
      </w:r>
    </w:p>
    <w:p w:rsidR="009B188D" w:rsidRDefault="008D3D42">
      <w:pPr>
        <w:spacing w:before="100" w:beforeAutospacing="1"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-31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676400" cy="600193"/>
                <wp:effectExtent l="0" t="0" r="0" b="9525"/>
                <wp:docPr id="1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683096" cy="6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2.0pt;height:47.3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>, где</w:t>
      </w:r>
    </w:p>
    <w:p w:rsidR="009B188D" w:rsidRDefault="008D3D42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-10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238125" cy="285750"/>
                <wp:effectExtent l="0" t="0" r="9525" b="0"/>
                <wp:docPr id="2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381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8.8pt;height:22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 - размер субсидии, предоставляемой бюджету </w:t>
      </w:r>
      <w:r>
        <w:rPr>
          <w:rFonts w:ascii="Times New Roman" w:hAnsi="Times New Roman" w:cs="Times New Roman"/>
          <w:bCs/>
          <w:noProof/>
          <w:position w:val="-6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23825" cy="238125"/>
                <wp:effectExtent l="0" t="0" r="9525" b="9525"/>
                <wp:docPr id="3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3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9.8pt;height:18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-го муниципального образования на реализацию </w:t>
      </w:r>
      <w:r>
        <w:rPr>
          <w:rFonts w:ascii="Times New Roman" w:hAnsi="Times New Roman" w:cs="Times New Roman"/>
          <w:bCs/>
          <w:noProof/>
          <w:position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04775" cy="190500"/>
                <wp:effectExtent l="0" t="0" r="9525" b="0"/>
                <wp:docPr id="4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047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8.2pt;height:15.0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>-го мероприятия;</w:t>
      </w:r>
    </w:p>
    <w:p w:rsidR="009B188D" w:rsidRDefault="008D3D42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-9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238125" cy="276225"/>
                <wp:effectExtent l="0" t="0" r="9525" b="9525"/>
                <wp:docPr id="5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8.8pt;height:21.8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 - общий объем средств, предусмотренный на реализацию </w:t>
      </w:r>
      <w:r>
        <w:rPr>
          <w:rFonts w:ascii="Times New Roman" w:hAnsi="Times New Roman" w:cs="Times New Roman"/>
          <w:bCs/>
          <w:noProof/>
          <w:position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04775" cy="190500"/>
                <wp:effectExtent l="0" t="0" r="9525" b="0"/>
                <wp:docPr id="6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047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8.2pt;height:15.0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>-го мероприятия, подлежащий распределению между муниципальными образованиями;</w:t>
      </w:r>
    </w:p>
    <w:p w:rsidR="009B188D" w:rsidRDefault="008D3D42">
      <w:pPr>
        <w:spacing w:before="100" w:beforeAutospacing="1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-10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266700" cy="28575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1.0pt;height:22.5pt;mso-wrap-distance-left:0.0pt;mso-wrap-distance-top:0.0pt;mso-wrap-distance-right:0.0pt;mso-wrap-distance-bottom:0.0pt;" stroked="f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 - потребность </w:t>
      </w:r>
      <w:r>
        <w:rPr>
          <w:rFonts w:ascii="Times New Roman" w:hAnsi="Times New Roman" w:cs="Times New Roman"/>
          <w:bCs/>
          <w:noProof/>
          <w:position w:val="-6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23825" cy="238125"/>
                <wp:effectExtent l="0" t="0" r="9525" b="9525"/>
                <wp:docPr id="8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3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9.8pt;height:18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-го муниципального образования на реализацию </w:t>
      </w:r>
      <w:r>
        <w:rPr>
          <w:rFonts w:ascii="Times New Roman" w:hAnsi="Times New Roman" w:cs="Times New Roman"/>
          <w:bCs/>
          <w:noProof/>
          <w:position w:val="-3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04775" cy="190500"/>
                <wp:effectExtent l="0" t="0" r="9525" b="0"/>
                <wp:docPr id="9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0477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8.2pt;height:15.0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>-го мероприятия, определяемая на основании документов, представленных органом местного самоуправления муниципального образования для получения субсидии;</w:t>
      </w:r>
    </w:p>
    <w:p w:rsidR="009B188D" w:rsidRDefault="008D3D42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1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52400" cy="152400"/>
                <wp:effectExtent l="0" t="0" r="0" b="0"/>
                <wp:docPr id="10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12.0pt;height:12.0pt;mso-wrap-distance-left:0.0pt;mso-wrap-distance-top:0.0pt;mso-wrap-distance-right:0.0pt;mso-wrap-distance-bottom:0.0pt;" stroked="f">
                <v:path textboxrect="0,0,0,0"/>
                <v:imagedata r:id="rId21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4"/>
          <w:szCs w:val="24"/>
        </w:rPr>
        <w:t xml:space="preserve"> - количество муниципальных образований, соответствующих условиям предоставления субсидий, установленным частью 3 настоящего Порядка.</w:t>
      </w:r>
    </w:p>
    <w:sectPr w:rsidR="009B188D">
      <w:pgSz w:w="11906" w:h="16838"/>
      <w:pgMar w:top="851" w:right="566" w:bottom="851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88D" w:rsidRDefault="008D3D42">
      <w:pPr>
        <w:spacing w:after="0" w:line="240" w:lineRule="auto"/>
      </w:pPr>
      <w:r>
        <w:separator/>
      </w:r>
    </w:p>
  </w:endnote>
  <w:endnote w:type="continuationSeparator" w:id="0">
    <w:p w:rsidR="009B188D" w:rsidRDefault="008D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88D" w:rsidRDefault="008D3D42">
      <w:pPr>
        <w:spacing w:after="0" w:line="240" w:lineRule="auto"/>
      </w:pPr>
      <w:r>
        <w:separator/>
      </w:r>
    </w:p>
  </w:footnote>
  <w:footnote w:type="continuationSeparator" w:id="0">
    <w:p w:rsidR="009B188D" w:rsidRDefault="008D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80F7D"/>
    <w:multiLevelType w:val="hybridMultilevel"/>
    <w:tmpl w:val="C4F0D228"/>
    <w:lvl w:ilvl="0" w:tplc="C1E4E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ECE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2CCB2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3A7F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7EB7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E49C7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663D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6314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1665E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8D"/>
    <w:rsid w:val="008D3D42"/>
    <w:rsid w:val="009B188D"/>
    <w:rsid w:val="00A66392"/>
    <w:rsid w:val="00CC5AFB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87C0"/>
  <w15:docId w15:val="{78C87B63-D491-4664-BE5F-7CD1DDFB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0.wmf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image" Target="media/image70.wmf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image" Target="media/image5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40.wmf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60.wmf"/><Relationship Id="rId4" Type="http://schemas.openxmlformats.org/officeDocument/2006/relationships/webSettings" Target="webSettings.xml"/><Relationship Id="rId9" Type="http://schemas.openxmlformats.org/officeDocument/2006/relationships/image" Target="media/image10.wmf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Рябова Надежда Рамильевна</dc:creator>
  <cp:lastModifiedBy>Шаманаева Елена Михайловна</cp:lastModifiedBy>
  <cp:revision>5</cp:revision>
  <dcterms:created xsi:type="dcterms:W3CDTF">2023-10-17T01:47:00Z</dcterms:created>
  <dcterms:modified xsi:type="dcterms:W3CDTF">2023-10-23T04:03:00Z</dcterms:modified>
</cp:coreProperties>
</file>