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экономического развития Камчатского края от 17.11.2022 № 284-П «Об </w:t>
            </w:r>
            <w:r>
              <w:rPr>
                <w:rFonts w:ascii="Times New Roman" w:hAnsi="Times New Roman"/>
                <w:b w:val="1"/>
                <w:sz w:val="28"/>
              </w:rPr>
              <w:t>утверждении Методики формирования рейтинга качества осуществления оценки регулирующего воздействия и экспертизы в городских округах, муниципальных районах Камчатского края и Алеутском муниципальном округе»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приказ Министерства </w:t>
      </w:r>
      <w:r>
        <w:rPr>
          <w:rFonts w:ascii="Times New Roman" w:hAnsi="Times New Roman"/>
          <w:sz w:val="28"/>
        </w:rPr>
        <w:t>экономического развития Камчатского края от 17.11.2022 № 284-П «Об утверждении Методики формирования рейтинга качества осуществления оценки регулирующего воздействия и экспертизы в городских округах, муниципальных районах Камчатского края и Алеутском муниц</w:t>
      </w:r>
      <w:r>
        <w:rPr>
          <w:rFonts w:ascii="Times New Roman" w:hAnsi="Times New Roman"/>
          <w:sz w:val="28"/>
        </w:rPr>
        <w:t>ипальном округе» следующие изменения:</w:t>
      </w:r>
    </w:p>
    <w:p w14:paraId="16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7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утверждении Методики формирования рейтинга качества осуществления оценки регулирующего воздействия и экспертизы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 городских и муниципальных округах и муниципальных района</w:t>
      </w:r>
      <w:r>
        <w:rPr>
          <w:rFonts w:ascii="Times New Roman" w:hAnsi="Times New Roman"/>
          <w:b w:val="1"/>
          <w:sz w:val="28"/>
        </w:rPr>
        <w:t>х Камчатского края»;</w:t>
      </w:r>
    </w:p>
    <w:p w14:paraId="18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изложить в редакции согласно приложению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приказу.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1171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0000000">
      <w:pPr>
        <w:spacing w:line="240" w:lineRule="auto"/>
        <w:ind/>
      </w:pPr>
      <w:r>
        <w:br w:type="page"/>
      </w:r>
    </w:p>
    <w:p w14:paraId="2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приказу Министерства</w:t>
      </w:r>
    </w:p>
    <w:p w14:paraId="22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 развития Камчатского края</w:t>
      </w:r>
    </w:p>
    <w:tbl>
      <w:tblPr>
        <w:tblStyle w:val="Style_3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7000000">
      <w:pPr>
        <w:spacing w:line="240" w:lineRule="auto"/>
        <w:ind/>
        <w:rPr>
          <w:rFonts w:ascii="Times New Roman" w:hAnsi="Times New Roman"/>
          <w:sz w:val="24"/>
        </w:rPr>
      </w:pPr>
    </w:p>
    <w:p w14:paraId="2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формирования рейтинга качества осуществления оценки регулирующего воздействия и экспертизы в городских и муниципальных округах и муниципальных </w:t>
      </w:r>
      <w:r>
        <w:rPr>
          <w:rFonts w:ascii="Times New Roman" w:hAnsi="Times New Roman"/>
          <w:sz w:val="28"/>
        </w:rPr>
        <w:t>районах Камчатского края</w:t>
      </w:r>
    </w:p>
    <w:p w14:paraId="29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numPr>
          <w:ilvl w:val="0"/>
          <w:numId w:val="3"/>
        </w:num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2B000000">
      <w:pPr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Настоящая Методика формирования рейтинга качества осуществления оценки регулирующего воздействия и экспертизы в городских </w:t>
      </w:r>
      <w:r>
        <w:br/>
      </w:r>
      <w:r>
        <w:rPr>
          <w:rFonts w:ascii="Times New Roman" w:hAnsi="Times New Roman"/>
          <w:sz w:val="28"/>
        </w:rPr>
        <w:t>и муниципальных округах и муниципальных районах Камчатского края (далее – Методика), разраб</w:t>
      </w:r>
      <w:r>
        <w:rPr>
          <w:rFonts w:ascii="Times New Roman" w:hAnsi="Times New Roman"/>
          <w:sz w:val="28"/>
        </w:rPr>
        <w:t>отана в целях оценки качества проведения  оценки регулирующего воздействия (далее – ОРВ) проектов муниципальных нормативных правовых актов (далее – НПА), экспертизы муниципальных НПА в городских и муниципальных округах и муниципальных районах Камчатского к</w:t>
      </w:r>
      <w:r>
        <w:rPr>
          <w:rFonts w:ascii="Times New Roman" w:hAnsi="Times New Roman"/>
          <w:sz w:val="28"/>
        </w:rPr>
        <w:t xml:space="preserve">рая (далее – муниципальные образования Камчатского края), выявления лучших практик внедрения процедуры ОРВ проектов муниципальных НПА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экспертизы муниципальных НПА.</w:t>
      </w:r>
    </w:p>
    <w:p w14:paraId="2C000000">
      <w:pPr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ОРВ проектов муниципальных НПА и экспертиза муниципальных НПА осуществляется в соответстви</w:t>
      </w:r>
      <w:r>
        <w:rPr>
          <w:rFonts w:ascii="Times New Roman" w:hAnsi="Times New Roman"/>
          <w:sz w:val="28"/>
        </w:rPr>
        <w:t xml:space="preserve">и с Федеральным законом от 06.10.2003 </w:t>
      </w:r>
      <w:r>
        <w:br/>
      </w:r>
      <w:r>
        <w:rPr>
          <w:rFonts w:ascii="Times New Roman" w:hAnsi="Times New Roman"/>
          <w:sz w:val="28"/>
        </w:rPr>
        <w:t xml:space="preserve">№ 131-ФЗ «Об общих принципах организации местного самоуправления </w:t>
      </w:r>
      <w:r>
        <w:br/>
      </w:r>
      <w:r>
        <w:rPr>
          <w:rFonts w:ascii="Times New Roman" w:hAnsi="Times New Roman"/>
          <w:sz w:val="28"/>
        </w:rPr>
        <w:t xml:space="preserve">в Российской Федерации» Законом Камчатского края от 23.09.2014 № 513 </w:t>
      </w:r>
      <w:r>
        <w:br/>
      </w:r>
      <w:r>
        <w:rPr>
          <w:rFonts w:ascii="Times New Roman" w:hAnsi="Times New Roman"/>
          <w:sz w:val="28"/>
        </w:rPr>
        <w:t>«О проведении оценки регулирующего воздействия проектов муниципальных нормативных</w:t>
      </w:r>
      <w:r>
        <w:rPr>
          <w:rFonts w:ascii="Times New Roman" w:hAnsi="Times New Roman"/>
          <w:sz w:val="28"/>
        </w:rPr>
        <w:t xml:space="preserve"> правовых актов и экспертизы муниципальных нормативных правовых актов в Камчатском крае».</w:t>
      </w:r>
    </w:p>
    <w:p w14:paraId="2D000000">
      <w:pPr>
        <w:numPr>
          <w:ilvl w:val="0"/>
          <w:numId w:val="4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Рейтинг качества осуществления оценки регулирующего воздействия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экспертизы в муниципальных образованиях Камчатского края (далее – Рейтинг) проводится Министерством </w:t>
      </w:r>
      <w:r>
        <w:rPr>
          <w:rFonts w:ascii="Times New Roman" w:hAnsi="Times New Roman"/>
          <w:sz w:val="28"/>
        </w:rPr>
        <w:t>экономического развития Камчатского края (далее – Министерство).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F000000">
      <w:pPr>
        <w:pStyle w:val="Style_4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Методология и сроки формирования рейтинга качества осуществления оценки регулирующего воздействия и экспертизы в муниципальных образованиях Камчатского края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Для формирования Рейтинга и</w:t>
      </w:r>
      <w:r>
        <w:rPr>
          <w:rFonts w:ascii="Times New Roman" w:hAnsi="Times New Roman"/>
          <w:sz w:val="28"/>
        </w:rPr>
        <w:t>спользуется система показателей согласно приложению 1 к Методике.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Система показателей включает в себя следующие блоки:</w:t>
      </w:r>
    </w:p>
    <w:p w14:paraId="33000000">
      <w:pPr>
        <w:numPr>
          <w:ilvl w:val="0"/>
          <w:numId w:val="5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«Нормативное правовое закрепление и механизм проведения ОРВ проектов муниципальных НПА и экспертизы муниципальных НПА»;</w:t>
      </w:r>
    </w:p>
    <w:p w14:paraId="34000000">
      <w:pPr>
        <w:numPr>
          <w:ilvl w:val="0"/>
          <w:numId w:val="5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«Практический </w:t>
      </w:r>
      <w:r>
        <w:rPr>
          <w:rFonts w:ascii="Times New Roman" w:hAnsi="Times New Roman"/>
          <w:sz w:val="28"/>
        </w:rPr>
        <w:t xml:space="preserve">опыт проведения ОРВ проектов муниципальных НПА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экспертизы муниципальных НПА»;</w:t>
      </w:r>
    </w:p>
    <w:p w14:paraId="35000000">
      <w:pPr>
        <w:numPr>
          <w:ilvl w:val="0"/>
          <w:numId w:val="5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«Методическое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организационное сопровождение»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Независимая оценка»</w:t>
      </w:r>
      <w:r>
        <w:rPr>
          <w:rFonts w:ascii="Times New Roman" w:hAnsi="Times New Roman"/>
          <w:sz w:val="28"/>
        </w:rPr>
        <w:t>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Каждый из блоков состоит из показателей с присвоенными им удельными весами – баллами, общей суммой 10</w:t>
      </w:r>
      <w:r>
        <w:rPr>
          <w:rFonts w:ascii="Times New Roman" w:hAnsi="Times New Roman"/>
          <w:sz w:val="28"/>
        </w:rPr>
        <w:t>0 баллов.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Муниципальные образования Камчатского края в зависимости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набранной суммы баллов распределяются по условным группам согласно приложению 2 к Методике.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 группе «Высший уровень» относятся муниципальные образования Камчатского края, набравши</w:t>
      </w:r>
      <w:r>
        <w:rPr>
          <w:rFonts w:ascii="Times New Roman" w:hAnsi="Times New Roman"/>
          <w:sz w:val="28"/>
        </w:rPr>
        <w:t>е от 80 до 100 баллов, к группе «Хороший уровень» – от 60 до 79 баллов, к группе «Удовлетворительный уровень» – от 40 до 59 баллов, и к группе «Неудовлетворительный уровень» – от 0 до 39 баллов.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Министерство с целью формирования рейтинга ежегодно не поз</w:t>
      </w:r>
      <w:r>
        <w:rPr>
          <w:rFonts w:ascii="Times New Roman" w:hAnsi="Times New Roman"/>
          <w:sz w:val="28"/>
        </w:rPr>
        <w:t xml:space="preserve">днее </w:t>
      </w:r>
      <w:r>
        <w:br/>
      </w:r>
      <w:r>
        <w:rPr>
          <w:rFonts w:ascii="Times New Roman" w:hAnsi="Times New Roman"/>
          <w:sz w:val="28"/>
        </w:rPr>
        <w:t>5 ноября</w:t>
      </w:r>
      <w:r>
        <w:rPr>
          <w:rFonts w:ascii="Times New Roman" w:hAnsi="Times New Roman"/>
          <w:sz w:val="28"/>
        </w:rPr>
        <w:t xml:space="preserve"> текущего года</w:t>
      </w:r>
      <w:r>
        <w:rPr>
          <w:rFonts w:ascii="Times New Roman" w:hAnsi="Times New Roman"/>
          <w:sz w:val="28"/>
        </w:rPr>
        <w:t xml:space="preserve"> запрашивает информацию от уполномоченных органов муниципальных образований Камчатского края, ответственных за внедрение процедуры ОРВ проектов муниципальных НПА, выполняющих функции нормативного правового, информационного, методического обес</w:t>
      </w:r>
      <w:r>
        <w:rPr>
          <w:rFonts w:ascii="Times New Roman" w:hAnsi="Times New Roman"/>
          <w:sz w:val="28"/>
        </w:rPr>
        <w:t>печения ОРВ проектов муниципальных НПА и оценки качества проведения процедуры ОРВ проектов муниципальных НПА, а также на проведение экспертизы муниципальных НПА (далее – уполномоченные органы) за отчетный период по установленной форме согласно приложению 3</w:t>
      </w:r>
      <w:r>
        <w:rPr>
          <w:rFonts w:ascii="Times New Roman" w:hAnsi="Times New Roman"/>
          <w:sz w:val="28"/>
        </w:rPr>
        <w:t xml:space="preserve"> к Методике.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Одновременно с направлением в уполномоченные органы запроса, указанного в пункте 9 Методики, Министерство направляет членам координационных или совещательных органов в сфере развития малого </w:t>
      </w:r>
      <w:r>
        <w:br/>
      </w:r>
      <w:r>
        <w:rPr>
          <w:rFonts w:ascii="Times New Roman" w:hAnsi="Times New Roman"/>
          <w:sz w:val="28"/>
        </w:rPr>
        <w:t>и среднего предпринимательства муниципальных образований Камчатского края, а также представителям экспертного сообщества муниципальных образований в Камчатском крае запрос информации, необходимой для формирования блока «Независимая оценка» системы показате</w:t>
      </w:r>
      <w:r>
        <w:rPr>
          <w:rFonts w:ascii="Times New Roman" w:hAnsi="Times New Roman"/>
          <w:sz w:val="28"/>
        </w:rPr>
        <w:t xml:space="preserve">лей </w:t>
      </w:r>
      <w:r>
        <w:br/>
      </w:r>
      <w:r>
        <w:rPr>
          <w:rFonts w:ascii="Times New Roman" w:hAnsi="Times New Roman"/>
          <w:sz w:val="28"/>
        </w:rPr>
        <w:t xml:space="preserve">в установленной форме согласно блока 4 «Независимая оценка» приложения 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Методике.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формирования экспертного сообщества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муниципальном образовании Камчатского края в целях проведения независимой оценки соответствующему муницип</w:t>
      </w:r>
      <w:r>
        <w:rPr>
          <w:rFonts w:ascii="Times New Roman" w:hAnsi="Times New Roman"/>
          <w:sz w:val="28"/>
        </w:rPr>
        <w:t>альному образованию Камчатского края начисляется 20 баллов согласно блока 4 «Независимая оценка» приложения 1 к Методике.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Под экспертным сообществом понимаются физические и юридические лица, общественные объединения в сфере предпринимательской </w:t>
      </w:r>
      <w:r>
        <w:br/>
      </w:r>
      <w:r>
        <w:rPr>
          <w:rFonts w:ascii="Times New Roman" w:hAnsi="Times New Roman"/>
          <w:sz w:val="28"/>
        </w:rPr>
        <w:t>и инвес</w:t>
      </w:r>
      <w:r>
        <w:rPr>
          <w:rFonts w:ascii="Times New Roman" w:hAnsi="Times New Roman"/>
          <w:sz w:val="28"/>
        </w:rPr>
        <w:t xml:space="preserve">тиционной деятельности и иные организации, участвующие </w:t>
      </w:r>
      <w:r>
        <w:br/>
      </w:r>
      <w:r>
        <w:rPr>
          <w:rFonts w:ascii="Times New Roman" w:hAnsi="Times New Roman"/>
          <w:sz w:val="28"/>
        </w:rPr>
        <w:t xml:space="preserve">в осуществлении процедуры ОРВ проектов муниципальных НПА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экспертизы муниципальных НПА.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Муниципальным образованием Камчатского края могут быть предложены представители экспертного сообщества для </w:t>
      </w:r>
      <w:r>
        <w:rPr>
          <w:rFonts w:ascii="Times New Roman" w:hAnsi="Times New Roman"/>
          <w:sz w:val="28"/>
        </w:rPr>
        <w:t>участия в независимой оценке. Данные предложения направляются в Министерство до 15 октября текущего года и должны включать в себя сведения о наименовании данных организаций, сфере деятельности, а также конкретные данные, включая юридический и электронный а</w:t>
      </w:r>
      <w:r>
        <w:rPr>
          <w:rFonts w:ascii="Times New Roman" w:hAnsi="Times New Roman"/>
          <w:sz w:val="28"/>
        </w:rPr>
        <w:t>дрес.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Блок «Независимая оценка» оценивается путем вычисления среднего балла по каждому из показателей.</w:t>
      </w:r>
    </w:p>
    <w:p w14:paraId="3F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Итоговый рейтинг размещается в информационно-телекоммуникационной сети «Интернет» на официальном сайте Министерства </w:t>
      </w:r>
      <w:r>
        <w:rPr>
          <w:rFonts w:ascii="Times New Roman" w:hAnsi="Times New Roman"/>
          <w:color w:val="0000EE"/>
          <w:sz w:val="28"/>
          <w:u w:color="000000" w:val="single"/>
        </w:rPr>
        <w:fldChar w:fldCharType="begin"/>
      </w:r>
      <w:r>
        <w:rPr>
          <w:rFonts w:ascii="Times New Roman" w:hAnsi="Times New Roman"/>
          <w:color w:val="0000EE"/>
          <w:sz w:val="28"/>
          <w:u w:color="000000" w:val="single"/>
        </w:rPr>
        <w:instrText>HYPERLINK "http://www/kamgov.ru/minecon/ocenka-reguliruusego-vozdejstvia/informacionnye-materialy"</w:instrText>
      </w:r>
      <w:r>
        <w:rPr>
          <w:rFonts w:ascii="Times New Roman" w:hAnsi="Times New Roman"/>
          <w:color w:val="0000EE"/>
          <w:sz w:val="28"/>
          <w:u w:color="000000" w:val="single"/>
        </w:rPr>
        <w:fldChar w:fldCharType="separate"/>
      </w:r>
      <w:r>
        <w:rPr>
          <w:rFonts w:ascii="Times New Roman" w:hAnsi="Times New Roman"/>
          <w:color w:val="0000EE"/>
          <w:sz w:val="28"/>
          <w:u w:color="000000" w:val="single"/>
        </w:rPr>
        <w:t>http://www/kamgov.ru/minecon/ocenka-reguliruusego-vozdejstvia/informacionnye-materialy</w:t>
      </w:r>
      <w:r>
        <w:rPr>
          <w:rFonts w:ascii="Times New Roman" w:hAnsi="Times New Roman"/>
          <w:color w:val="0000EE"/>
          <w:sz w:val="28"/>
          <w:u w:color="000000" w:val="single"/>
        </w:rPr>
        <w:fldChar w:fldCharType="end"/>
      </w:r>
      <w:r>
        <w:rPr>
          <w:rFonts w:ascii="Times New Roman" w:hAnsi="Times New Roman"/>
          <w:color w:val="0000EE"/>
          <w:sz w:val="28"/>
          <w:u w:color="000000" w:val="single"/>
        </w:rPr>
        <w:t xml:space="preserve"> </w:t>
      </w:r>
      <w:r>
        <w:rPr>
          <w:rFonts w:ascii="Times New Roman" w:hAnsi="Times New Roman"/>
          <w:sz w:val="28"/>
        </w:rPr>
        <w:t xml:space="preserve">не позднее 15 декабря текущего года и одновременно направляется </w:t>
      </w:r>
      <w:r>
        <w:br/>
      </w:r>
      <w:r>
        <w:rPr>
          <w:rFonts w:ascii="Times New Roman" w:hAnsi="Times New Roman"/>
          <w:sz w:val="28"/>
        </w:rPr>
        <w:t>в муниципальные образования Камч</w:t>
      </w:r>
      <w:r>
        <w:rPr>
          <w:rFonts w:ascii="Times New Roman" w:hAnsi="Times New Roman"/>
          <w:sz w:val="28"/>
        </w:rPr>
        <w:t>атского края.</w:t>
      </w:r>
    </w:p>
    <w:p w14:paraId="40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Критерии начисления баллов по отдельным показателям системы показателей, используемых для формирования рейтинга качества осуществления оценки регулирующего воздействия и экспертизы в муниципальных образованиях Камчатского края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В целях </w:t>
      </w:r>
      <w:r>
        <w:rPr>
          <w:rFonts w:ascii="Times New Roman" w:hAnsi="Times New Roman"/>
          <w:sz w:val="28"/>
        </w:rPr>
        <w:t>начисления баллов по показателю, установленному пунктом 1.5 блока 1 «Нормативное правовое закрепление и механизм проведения ОРВ проектов муниципальных НПА и экспертизы муниципальных НПА» приложения 1 к Методике под количественными методами понимается колич</w:t>
      </w:r>
      <w:r>
        <w:rPr>
          <w:rFonts w:ascii="Times New Roman" w:hAnsi="Times New Roman"/>
          <w:sz w:val="28"/>
        </w:rPr>
        <w:t>ественное сопоставление предполагаемых результатов реализации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</w:t>
      </w:r>
      <w:r>
        <w:rPr>
          <w:rFonts w:ascii="Times New Roman" w:hAnsi="Times New Roman"/>
          <w:sz w:val="28"/>
        </w:rPr>
        <w:t xml:space="preserve"> введение, а также возможных издержек и выгод предполагаемых адресатов такого регулирования. Использование данного метода отражается в заключениях об ОРВ. В сводных отчетах и заключениях об ОРВ также отражается вывод о возможных альтернативных способах пре</w:t>
      </w:r>
      <w:r>
        <w:rPr>
          <w:rFonts w:ascii="Times New Roman" w:hAnsi="Times New Roman"/>
          <w:sz w:val="28"/>
        </w:rPr>
        <w:t>длагаемого регулирования.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целях начисления баллов по показателю, установленному пунктом 1.10 блока 1 «Нормативное правовое закрепление и механизм проведения ОРВ проектов муниципальных НПА и экспертизы муниципальных НПА» приложения 1 к Методике под пр</w:t>
      </w:r>
      <w:r>
        <w:rPr>
          <w:rFonts w:ascii="Times New Roman" w:hAnsi="Times New Roman"/>
          <w:sz w:val="28"/>
        </w:rPr>
        <w:t>оцедурой урегулирования разногласий понимается проведение согласительного совещания между разработчиком проекта муниципального НПА и уполномоченным органом, подготовившим заключение об ОРВ.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 целях начисления баллов по показателям, установленным пункта</w:t>
      </w:r>
      <w:r>
        <w:rPr>
          <w:rFonts w:ascii="Times New Roman" w:hAnsi="Times New Roman"/>
          <w:sz w:val="28"/>
        </w:rPr>
        <w:t xml:space="preserve">ми 2.1, 2.2 блока 2 «Практический опыт проведения процедуры ОРВ проектов муниципальных НПА и экспертизы муниципальных НПА» приложения 1 </w:t>
      </w:r>
      <w:r>
        <w:br/>
      </w:r>
      <w:r>
        <w:rPr>
          <w:rFonts w:ascii="Times New Roman" w:hAnsi="Times New Roman"/>
          <w:sz w:val="28"/>
        </w:rPr>
        <w:t xml:space="preserve">к Методике под систематической основой понимается проведение процедуры ОРВ в отношении всех проектов муниципальных НПА </w:t>
      </w:r>
      <w:r>
        <w:rPr>
          <w:rFonts w:ascii="Times New Roman" w:hAnsi="Times New Roman"/>
          <w:sz w:val="28"/>
        </w:rPr>
        <w:t>в установленной предметной области проведения ОРВ, экспертизы в отношении всех муниципальных НПА, включенных в план проведения экспертизы за отчетный период (предыдущий год). При этом заключения об ОРВ и о результатах экспертизы по указанным проектам муниц</w:t>
      </w:r>
      <w:r>
        <w:rPr>
          <w:rFonts w:ascii="Times New Roman" w:hAnsi="Times New Roman"/>
          <w:sz w:val="28"/>
        </w:rPr>
        <w:t xml:space="preserve">ипальных НПА и муниципальным НПА должны быть размещены в открытом доступе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 на</w:t>
      </w:r>
      <w:r>
        <w:rPr>
          <w:rFonts w:ascii="Times New Roman" w:hAnsi="Times New Roman"/>
          <w:sz w:val="28"/>
        </w:rPr>
        <w:t xml:space="preserve"> сайте </w:t>
      </w:r>
      <w:r>
        <w:rPr>
          <w:rStyle w:val="Style_5_ch"/>
          <w:rFonts w:ascii="Times New Roman" w:hAnsi="Times New Roman"/>
          <w:color w:val="4472C4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4472C4"/>
          <w:sz w:val="28"/>
          <w:u w:val="none"/>
        </w:rPr>
        <w:instrText>HYPERLINK "http://regulation.kamgov.ru"</w:instrText>
      </w:r>
      <w:r>
        <w:rPr>
          <w:rStyle w:val="Style_5_ch"/>
          <w:rFonts w:ascii="Times New Roman" w:hAnsi="Times New Roman"/>
          <w:color w:val="4472C4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4472C4"/>
          <w:sz w:val="28"/>
          <w:u w:val="none"/>
        </w:rPr>
        <w:t>http://regulation.kamgov.ru</w:t>
      </w:r>
      <w:r>
        <w:rPr>
          <w:rStyle w:val="Style_5_ch"/>
          <w:rFonts w:ascii="Times New Roman" w:hAnsi="Times New Roman"/>
          <w:color w:val="4472C4"/>
          <w:sz w:val="28"/>
          <w:u w:val="none"/>
        </w:rPr>
        <w:fldChar w:fldCharType="end"/>
      </w:r>
      <w:r>
        <w:rPr>
          <w:rFonts w:ascii="Times New Roman" w:hAnsi="Times New Roman"/>
          <w:color w:val="4472C4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Региональный Интернет-портал).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В целя</w:t>
      </w:r>
      <w:r>
        <w:rPr>
          <w:rFonts w:ascii="Times New Roman" w:hAnsi="Times New Roman"/>
          <w:sz w:val="28"/>
        </w:rPr>
        <w:t xml:space="preserve">х начисления баллов по показателю, установленному </w:t>
      </w:r>
      <w:r>
        <w:br/>
      </w:r>
      <w:r>
        <w:rPr>
          <w:rFonts w:ascii="Times New Roman" w:hAnsi="Times New Roman"/>
          <w:sz w:val="28"/>
        </w:rPr>
        <w:t xml:space="preserve">пунктом 2.3 блока 2 «Практический опыт проведения процедуры ОРВ проектов </w:t>
      </w:r>
      <w:r>
        <w:rPr>
          <w:rFonts w:ascii="Times New Roman" w:hAnsi="Times New Roman"/>
          <w:sz w:val="28"/>
        </w:rPr>
        <w:t xml:space="preserve">муниципальных НПА и экспертизы муниципальных НПА» приложения 1 </w:t>
      </w:r>
      <w:r>
        <w:br/>
      </w:r>
      <w:r>
        <w:rPr>
          <w:rFonts w:ascii="Times New Roman" w:hAnsi="Times New Roman"/>
          <w:sz w:val="28"/>
        </w:rPr>
        <w:t>к Методике учитывается соблюдение основных принципов проведения ОРВ п</w:t>
      </w:r>
      <w:r>
        <w:rPr>
          <w:rFonts w:ascii="Times New Roman" w:hAnsi="Times New Roman"/>
          <w:sz w:val="28"/>
        </w:rPr>
        <w:t xml:space="preserve">роектов муниципальных НПА и экспертизы муниципальных НПА, а также достаточность информации, размещенной в информационно-телекоммуникационной сети «Интернет» (далее – сеть «Интернет»)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муниципального образования Камчатского</w:t>
      </w:r>
      <w:r>
        <w:rPr>
          <w:rFonts w:ascii="Times New Roman" w:hAnsi="Times New Roman"/>
          <w:sz w:val="28"/>
        </w:rPr>
        <w:t xml:space="preserve"> края в разделе, посвященному ОРВ проектов муниципальных НПА и экспертизе муниципальных НПА.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При анализе информации, размещенной в сети «Интернет»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муниципального образования Камчатского края, учитывается следующая инф</w:t>
      </w:r>
      <w:r>
        <w:rPr>
          <w:rFonts w:ascii="Times New Roman" w:hAnsi="Times New Roman"/>
          <w:sz w:val="28"/>
        </w:rPr>
        <w:t>ормация:</w:t>
      </w:r>
    </w:p>
    <w:p w14:paraId="46000000">
      <w:pPr>
        <w:numPr>
          <w:ilvl w:val="0"/>
          <w:numId w:val="6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правового регулирования проекта муниципального НПА, его цели;</w:t>
      </w:r>
    </w:p>
    <w:p w14:paraId="47000000">
      <w:pPr>
        <w:numPr>
          <w:ilvl w:val="0"/>
          <w:numId w:val="6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количественные методы, использованные при проведении ОРВ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или экспертизы;</w:t>
      </w:r>
    </w:p>
    <w:p w14:paraId="48000000">
      <w:pPr>
        <w:numPr>
          <w:ilvl w:val="0"/>
          <w:numId w:val="6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публичных консультаций;</w:t>
      </w:r>
    </w:p>
    <w:p w14:paraId="49000000">
      <w:pPr>
        <w:numPr>
          <w:ilvl w:val="0"/>
          <w:numId w:val="6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регулирующего воздействия;</w:t>
      </w:r>
    </w:p>
    <w:p w14:paraId="4A000000">
      <w:pPr>
        <w:numPr>
          <w:ilvl w:val="0"/>
          <w:numId w:val="6"/>
        </w:num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ОРВ или </w:t>
      </w:r>
      <w:r>
        <w:rPr>
          <w:rFonts w:ascii="Times New Roman" w:hAnsi="Times New Roman"/>
          <w:sz w:val="28"/>
        </w:rPr>
        <w:t>экспертизы.</w:t>
      </w:r>
    </w:p>
    <w:p w14:paraId="4B000000">
      <w:pPr>
        <w:tabs>
          <w:tab w:leader="none" w:pos="993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В целях начисления баллов по показателю, установленному пунктом 2.3 блока 2 «Практический опыт проведения процедуры ОРВ проектов муниципальных НПА и экспертизы муниципальных НПА» приложения 1 </w:t>
      </w:r>
      <w:r>
        <w:br/>
      </w:r>
      <w:r>
        <w:rPr>
          <w:rFonts w:ascii="Times New Roman" w:hAnsi="Times New Roman"/>
          <w:sz w:val="28"/>
        </w:rPr>
        <w:t>к Методике, муниципальному образованию Камчатск</w:t>
      </w:r>
      <w:r>
        <w:rPr>
          <w:rFonts w:ascii="Times New Roman" w:hAnsi="Times New Roman"/>
          <w:sz w:val="28"/>
        </w:rPr>
        <w:t>ого края необходимо разместить в сети «Интернет» на официальном сайте администрации муниципального образования Камчатского края не менее 2 лучших практик за отчетный период.</w:t>
      </w: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В целях начисления баллов по показателю, установленному пунктом 3.1 блока 3 «М</w:t>
      </w:r>
      <w:r>
        <w:rPr>
          <w:rFonts w:ascii="Times New Roman" w:hAnsi="Times New Roman"/>
          <w:sz w:val="28"/>
        </w:rPr>
        <w:t xml:space="preserve">етодическое и организационное сопровождение» приложения 1 </w:t>
      </w:r>
      <w:r>
        <w:br/>
      </w:r>
      <w:r>
        <w:rPr>
          <w:rFonts w:ascii="Times New Roman" w:hAnsi="Times New Roman"/>
          <w:sz w:val="28"/>
        </w:rPr>
        <w:t>к Методике под формами документов, необходимых для проведения ОРВ проектов муниципальных НПА и экспертизы муниципальных НПА, понимаются в том числе утвержденные формы сводного отчета о проведении О</w:t>
      </w:r>
      <w:r>
        <w:rPr>
          <w:rFonts w:ascii="Times New Roman" w:hAnsi="Times New Roman"/>
          <w:sz w:val="28"/>
        </w:rPr>
        <w:t xml:space="preserve">РВ </w:t>
      </w:r>
      <w:r>
        <w:rPr>
          <w:rFonts w:ascii="Times New Roman" w:hAnsi="Times New Roman"/>
          <w:sz w:val="28"/>
        </w:rPr>
        <w:t>и заключений об ОРВ проекта муниципального НПА и результатах экспертизы муниципального НПА.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В целях начисления баллов по показателю, установленному </w:t>
      </w:r>
      <w:r>
        <w:br/>
      </w:r>
      <w:r>
        <w:rPr>
          <w:rFonts w:ascii="Times New Roman" w:hAnsi="Times New Roman"/>
          <w:sz w:val="28"/>
        </w:rPr>
        <w:t xml:space="preserve">пунктом 3.2 блока 3 «Методическое и организационное сопровождение» приложения 1 </w:t>
      </w:r>
      <w:r>
        <w:rPr>
          <w:rFonts w:ascii="Times New Roman" w:hAnsi="Times New Roman"/>
          <w:sz w:val="28"/>
        </w:rPr>
        <w:t xml:space="preserve">к Методике под иными </w:t>
      </w:r>
      <w:r>
        <w:rPr>
          <w:rFonts w:ascii="Times New Roman" w:hAnsi="Times New Roman"/>
          <w:sz w:val="28"/>
        </w:rPr>
        <w:t>сайтами в сети «Интернет», на которых может быть размещена информация об ОРВ проектов муниципальных НПА и экспертизе муниципальных НПА, понимаются официальные сайты общественных организаций по поддержке предпринимательства, представителей предпринимательск</w:t>
      </w:r>
      <w:r>
        <w:rPr>
          <w:rFonts w:ascii="Times New Roman" w:hAnsi="Times New Roman"/>
          <w:sz w:val="28"/>
        </w:rPr>
        <w:t>ого сообщества муниципального образования Камчатского края, исполнительных органов Камчатского края, едином региональном интернет-портале, предназначенном для размещения нормативных правовых актов Камчатского края в целях их публичного обсуждения в сети «И</w:t>
      </w:r>
      <w:r>
        <w:rPr>
          <w:rFonts w:ascii="Times New Roman" w:hAnsi="Times New Roman"/>
          <w:sz w:val="28"/>
        </w:rPr>
        <w:t xml:space="preserve">нтернет», </w:t>
      </w:r>
      <w:r>
        <w:rPr>
          <w:rFonts w:ascii="Times New Roman" w:hAnsi="Times New Roman"/>
          <w:sz w:val="28"/>
        </w:rPr>
        <w:t xml:space="preserve">а также размещения иной информации, связанной с проведением процедуры оценки регулирующего воздействия, который расположен по адресу </w:t>
      </w:r>
      <w:r>
        <w:rPr>
          <w:rStyle w:val="Style_5_ch"/>
          <w:rFonts w:ascii="Times New Roman" w:hAnsi="Times New Roman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sz w:val="28"/>
          <w:u w:val="none"/>
        </w:rPr>
        <w:instrText>HYPERLINK "http://regulation.kamgov.ru"</w:instrText>
      </w:r>
      <w:r>
        <w:rPr>
          <w:rStyle w:val="Style_5_ch"/>
          <w:rFonts w:ascii="Times New Roman" w:hAnsi="Times New Roman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sz w:val="28"/>
          <w:u w:val="none"/>
        </w:rPr>
        <w:t>http://regulation.kamgov.ru/</w:t>
      </w:r>
      <w:r>
        <w:rPr>
          <w:rStyle w:val="Style_5_ch"/>
          <w:rFonts w:ascii="Times New Roman" w:hAnsi="Times New Roman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,и иных официальных информационных ресурсах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Положения настоящего раздела также используются при заполнении приложения 3 к Методике.</w:t>
      </w:r>
    </w:p>
    <w:p w14:paraId="4F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При заполнении приложения 3 к Методике муниципальные образования Камчатского края должны обосновывать те положения, на которые они ссылаются, указывая необход</w:t>
      </w:r>
      <w:r>
        <w:rPr>
          <w:rFonts w:ascii="Times New Roman" w:hAnsi="Times New Roman"/>
          <w:sz w:val="28"/>
        </w:rPr>
        <w:t>имые сведения в специально отведенных разделах.</w:t>
      </w:r>
    </w:p>
    <w:p w14:paraId="50000000">
      <w:pPr>
        <w:spacing w:line="240" w:lineRule="auto"/>
        <w:ind/>
      </w:pPr>
    </w:p>
    <w:p w14:paraId="51000000">
      <w:pPr>
        <w:spacing w:line="240" w:lineRule="auto"/>
        <w:ind/>
      </w:pPr>
    </w:p>
    <w:p w14:paraId="52000000">
      <w:pPr>
        <w:spacing w:line="240" w:lineRule="auto"/>
        <w:ind/>
      </w:pPr>
    </w:p>
    <w:p w14:paraId="53000000">
      <w:pPr>
        <w:spacing w:line="240" w:lineRule="auto"/>
        <w:ind/>
      </w:pPr>
    </w:p>
    <w:p w14:paraId="54000000">
      <w:pPr>
        <w:spacing w:line="240" w:lineRule="auto"/>
        <w:ind/>
      </w:pPr>
    </w:p>
    <w:p w14:paraId="55000000">
      <w:pPr>
        <w:spacing w:line="240" w:lineRule="auto"/>
        <w:ind/>
      </w:pPr>
    </w:p>
    <w:p w14:paraId="56000000">
      <w:pPr>
        <w:spacing w:line="240" w:lineRule="auto"/>
        <w:ind/>
      </w:pPr>
    </w:p>
    <w:p w14:paraId="57000000">
      <w:pPr>
        <w:spacing w:line="240" w:lineRule="auto"/>
        <w:ind/>
      </w:pPr>
    </w:p>
    <w:p w14:paraId="58000000">
      <w:pPr>
        <w:spacing w:line="240" w:lineRule="auto"/>
        <w:ind/>
      </w:pPr>
    </w:p>
    <w:p w14:paraId="59000000">
      <w:pPr>
        <w:spacing w:line="240" w:lineRule="auto"/>
        <w:ind/>
      </w:pPr>
    </w:p>
    <w:p w14:paraId="5A000000">
      <w:pPr>
        <w:spacing w:line="240" w:lineRule="auto"/>
        <w:ind/>
      </w:pPr>
    </w:p>
    <w:p w14:paraId="5B000000">
      <w:pPr>
        <w:spacing w:line="240" w:lineRule="auto"/>
        <w:ind/>
      </w:pPr>
    </w:p>
    <w:p w14:paraId="5C000000">
      <w:pPr>
        <w:spacing w:line="240" w:lineRule="auto"/>
        <w:ind/>
      </w:pPr>
    </w:p>
    <w:p w14:paraId="5D000000">
      <w:pPr>
        <w:spacing w:line="240" w:lineRule="auto"/>
        <w:ind/>
      </w:pPr>
    </w:p>
    <w:p w14:paraId="5E000000">
      <w:pPr>
        <w:spacing w:line="240" w:lineRule="auto"/>
        <w:ind/>
      </w:pPr>
    </w:p>
    <w:p w14:paraId="5F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 w:firstLine="0" w:left="-424"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71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Методике формирования рейтинга качества осуществления оценки регулирующего воздействия </w:t>
      </w:r>
      <w:r>
        <w:br/>
      </w:r>
      <w:r>
        <w:rPr>
          <w:rFonts w:ascii="Times New Roman" w:hAnsi="Times New Roman"/>
          <w:sz w:val="28"/>
        </w:rPr>
        <w:t xml:space="preserve">и экспертизы в городских </w:t>
      </w:r>
      <w:r>
        <w:br/>
      </w:r>
      <w:r>
        <w:rPr>
          <w:rFonts w:ascii="Times New Roman" w:hAnsi="Times New Roman"/>
          <w:sz w:val="28"/>
        </w:rPr>
        <w:t xml:space="preserve">и муниципальных округах </w:t>
      </w:r>
      <w:r>
        <w:br/>
      </w:r>
      <w:r>
        <w:rPr>
          <w:rFonts w:ascii="Times New Roman" w:hAnsi="Times New Roman"/>
          <w:sz w:val="28"/>
        </w:rPr>
        <w:t xml:space="preserve">и муниципальных районах Камчатского </w:t>
      </w:r>
      <w:r>
        <w:rPr>
          <w:rFonts w:ascii="Times New Roman" w:hAnsi="Times New Roman"/>
          <w:sz w:val="28"/>
        </w:rPr>
        <w:t>края</w:t>
      </w:r>
    </w:p>
    <w:p w14:paraId="72000000">
      <w:pPr>
        <w:spacing w:after="0" w:line="240" w:lineRule="auto"/>
        <w:ind w:firstLine="709" w:left="0"/>
        <w:contextualSpacing w:val="1"/>
        <w:jc w:val="right"/>
        <w:rPr>
          <w:sz w:val="28"/>
        </w:rPr>
      </w:pPr>
      <w:r>
        <w:rPr>
          <w:sz w:val="28"/>
        </w:rPr>
        <w:t xml:space="preserve">                </w:t>
      </w:r>
    </w:p>
    <w:p w14:paraId="73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показателей, используемых для формирования рейтинга качества осуществления оценки регулирующего воздействия и экспертизы в городских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муниципальных округах и муниципальных районах Камчатского края</w:t>
      </w:r>
    </w:p>
    <w:p w14:paraId="74000000">
      <w:pPr>
        <w:spacing w:after="0" w:line="240" w:lineRule="auto"/>
        <w:ind w:firstLine="709" w:left="0"/>
        <w:contextualSpacing w:val="1"/>
        <w:jc w:val="center"/>
        <w:rPr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7655"/>
        <w:gridCol w:w="1162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п/п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показател</w:t>
            </w:r>
            <w:r>
              <w:rPr>
                <w:rFonts w:ascii="Times New Roman" w:hAnsi="Times New Roman"/>
                <w:b w:val="1"/>
                <w:sz w:val="24"/>
              </w:rPr>
              <w:t>я</w:t>
            </w:r>
          </w:p>
          <w:p w14:paraId="7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Баллы</w:t>
            </w:r>
          </w:p>
        </w:tc>
      </w:tr>
      <w:tr>
        <w:tc>
          <w:tcPr>
            <w:tcW w:type="dxa" w:w="96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Блок 1 «Нормативное правовое закрепление и механизм проведения ОРВ проектов муниципальных НПА и экспертизы муниципальных НПА» - 35 балла</w:t>
            </w:r>
          </w:p>
          <w:p w14:paraId="7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 уполномоченный орган, ответственный за внедрение процедуры оценки регулирующего воздействия</w:t>
            </w:r>
            <w:r>
              <w:rPr>
                <w:rFonts w:ascii="Times New Roman" w:hAnsi="Times New Roman"/>
                <w:sz w:val="24"/>
              </w:rPr>
              <w:t xml:space="preserve"> (далее – ОРВ) проектов муниципальных нормативных правовых а</w:t>
            </w:r>
            <w:r>
              <w:rPr>
                <w:rFonts w:ascii="Times New Roman" w:hAnsi="Times New Roman"/>
                <w:sz w:val="24"/>
              </w:rPr>
              <w:t>ктов (далее – НПА), выполняющий</w:t>
            </w:r>
            <w:r>
              <w:rPr>
                <w:rFonts w:ascii="Times New Roman" w:hAnsi="Times New Roman"/>
                <w:sz w:val="24"/>
              </w:rPr>
              <w:t xml:space="preserve"> функции нормативного правового, информационного, методического обеспечения ОРВ проектов муниципальных НПА и оценки качества проведения процедуры ОРВ проектов муниц</w:t>
            </w:r>
            <w:r>
              <w:rPr>
                <w:rFonts w:ascii="Times New Roman" w:hAnsi="Times New Roman"/>
                <w:sz w:val="24"/>
              </w:rPr>
              <w:t>ипальных НПА, а также на проведение экспертизы муниципальных НПА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 порядок проведения процедуры ОРВ проектов муниципальных НПА: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Максимально - 8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разработчиком которых является администрация муниципального образования Камчатского края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разработчиком которых является представительный орган местного самоуправления муниципального образования Камчатского края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ОРВ проводится, начиная со стадии обсуждения идеи (концепции) нового правового регулирования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  <w:r>
              <w:rPr>
                <w:rFonts w:ascii="Times New Roman" w:hAnsi="Times New Roman"/>
                <w:sz w:val="24"/>
              </w:rPr>
              <w:t xml:space="preserve"> проведения публичных консультаций по проектам муниципальных НПА составляет не менее 20, 10 и 5 рабочих дней для высокой, средней и низкой степеней регулирующего воздействия соответственно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ОРВ проектов муниципальных НПА осуществляется с использован</w:t>
            </w:r>
            <w:r>
              <w:rPr>
                <w:rFonts w:ascii="Times New Roman" w:hAnsi="Times New Roman"/>
                <w:sz w:val="24"/>
              </w:rPr>
              <w:t>ием количественных методов, делается вывод о возможных альтернативных способах предлагаемого регулирования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ОРВ учитывается степень регулирующего воздействия проектов муниципальных НПА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Нормативно закреплен механизм учета </w:t>
            </w:r>
            <w:r>
              <w:rPr>
                <w:rFonts w:ascii="Times New Roman" w:hAnsi="Times New Roman"/>
                <w:sz w:val="24"/>
              </w:rPr>
              <w:t>выводов, содержащихся в заключениях об ОРВ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 закреплено обязательное наличие заключения об ОРВ для проектов муниципальных НПА, регулирующих отношения в установленной предметной области проведения ОРВ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 порядок проведения эк</w:t>
            </w:r>
            <w:r>
              <w:rPr>
                <w:rFonts w:ascii="Times New Roman" w:hAnsi="Times New Roman"/>
                <w:sz w:val="24"/>
              </w:rPr>
              <w:t>спертизы муниципальных НПА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 закреплена процедура урегулирования разногласий, выявленных в ходе проведения ОРВ проектов муниципальных НПА и экспертизы муниципальных НПА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Утверждены формы документов, необходимых для проведения ОРВ </w:t>
            </w:r>
            <w:r>
              <w:rPr>
                <w:rFonts w:ascii="Times New Roman" w:hAnsi="Times New Roman"/>
                <w:sz w:val="24"/>
              </w:rPr>
              <w:t>проектов муниципальных НПА и экспертизы муниципальных НПА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96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Блок 2 «Практический опыт проведения процедуры ОРВ проектов муниципальных НПА и экспертизы муниципальных НПА» - 25 баллов</w:t>
            </w:r>
          </w:p>
          <w:p w14:paraId="A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систематической основе проводится ОРВ проектов муниципальных </w:t>
            </w:r>
            <w:r>
              <w:rPr>
                <w:rFonts w:ascii="Times New Roman" w:hAnsi="Times New Roman"/>
                <w:sz w:val="24"/>
              </w:rPr>
              <w:t>НПА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систематической основе проводится экспертиза муниципальных НПА: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Максимально - 10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экспертизу прошли все муниципальные НПА, включенные в Перечень муниципальных НПА, в отношении которых проводится экспертиза на соответствующий год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экспертизы внесены изменения или принято решение об отмене в отношении 50 % и более муниципальных НПА, по которым проведена экспертиза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официальном сайте администрации муниципального образования Камчатского края в разделе «О</w:t>
            </w:r>
            <w:r>
              <w:rPr>
                <w:rFonts w:ascii="Times New Roman" w:hAnsi="Times New Roman"/>
                <w:sz w:val="24"/>
              </w:rPr>
              <w:t>РВ» приведены практические примеры проведения ОРВ и экспертизы в муниципальном образовании Камчатского края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</w:tr>
      <w:tr>
        <w:tc>
          <w:tcPr>
            <w:tcW w:type="dxa" w:w="96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B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Блок 3 «Методическое и организационное сопровождение» - 20 баллов</w:t>
            </w:r>
          </w:p>
          <w:p w14:paraId="B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НПА, регламентирующие процедуру проведения ОРВ и </w:t>
            </w:r>
            <w:r>
              <w:rPr>
                <w:rFonts w:ascii="Times New Roman" w:hAnsi="Times New Roman"/>
                <w:sz w:val="24"/>
              </w:rPr>
              <w:t>экспертизы, а также типовые формы документов, необходимых для проведения процедуры ОРВ и экспертизы, размещены в информационно-телекоммуникационной сети «Интернет» (далее – сеть «Интернет») на официальном сайте администрации муниципального образования Камч</w:t>
            </w:r>
            <w:r>
              <w:rPr>
                <w:rFonts w:ascii="Times New Roman" w:hAnsi="Times New Roman"/>
                <w:sz w:val="24"/>
              </w:rPr>
              <w:t>атского края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ОРВ проектов муниципальных НПА и экспертизе муниципальных НПА размещается: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Максимально - 8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сети «Интеренет» на официальном сайте администрации муниципального образования Камчатского края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иных сайтах</w:t>
            </w:r>
            <w:r>
              <w:rPr>
                <w:rFonts w:ascii="Times New Roman" w:hAnsi="Times New Roman"/>
                <w:sz w:val="24"/>
              </w:rPr>
              <w:t xml:space="preserve"> сети «Интернет»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муниципальном образовании Камчатского края создан и действует коллегиальный совещательный орган по вопросам ОРВ и экспертизы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Проводятся мероприятия, посвященные реализации института ОРВ в муниципальных образованиях </w:t>
            </w:r>
            <w:r>
              <w:rPr>
                <w:rFonts w:ascii="Times New Roman" w:hAnsi="Times New Roman"/>
                <w:sz w:val="24"/>
              </w:rPr>
              <w:t>Камчатского края.</w:t>
            </w:r>
          </w:p>
          <w:p w14:paraId="C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прошедших и (или) готовящихся мероприятиях (событиях) в сфере ОРВ регулярно публикуются в сети Интернет, средствах массовой информации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Заключены соглашения о взаимодействии при проведении процедуры ОРВ проектов муници</w:t>
            </w:r>
            <w:r>
              <w:rPr>
                <w:rFonts w:ascii="Times New Roman" w:hAnsi="Times New Roman"/>
                <w:sz w:val="24"/>
              </w:rPr>
              <w:t>пальных НПА и экспертизы муниципальных НПА с представителями предпринимательского сообщества, общественными объединениями в сфере предпринимательской и инвестиционной деятельности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</w:tr>
      <w:tr>
        <w:tc>
          <w:tcPr>
            <w:tcW w:type="dxa" w:w="96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Блок 4 «Независимая оценка» - 20 баллов</w:t>
            </w:r>
          </w:p>
          <w:p w14:paraId="D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ОРВ и экспертизе муниципального образования Камчатского края размещена в открытом доступе, является актуальной и достаточной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0-4</w:t>
            </w:r>
          </w:p>
        </w:tc>
      </w:tr>
      <w:tr>
        <w:trPr>
          <w:trHeight w:hRule="atLeast" w:val="86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Администрацией муниципального образования Камчатского края проводится работа по информированию членов коорд</w:t>
            </w:r>
            <w:r>
              <w:rPr>
                <w:rFonts w:ascii="Times New Roman" w:hAnsi="Times New Roman"/>
                <w:sz w:val="24"/>
              </w:rPr>
              <w:t>инационных или совещательных органов в области малого и среднего предпринимательства в муниципальном образовании, иных представителей экспертного сообщества об особенностях проведения ОРВ проектов муниципальных НПА и экспертизы муниципальных НПА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0-4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Администрацией муниципального образования Камчатского края осуществляется рассылка членам координационных или совещательных органов в области малого и среднего предпринимательства в муниципальном образовании, иным представителям экспертного сообщества увед</w:t>
            </w:r>
            <w:r>
              <w:rPr>
                <w:rFonts w:ascii="Times New Roman" w:hAnsi="Times New Roman"/>
                <w:sz w:val="24"/>
              </w:rPr>
              <w:t>омлений о проведении публичных консультаций в рамках процедуры ОРВ проектов муниципальных НПА и экспертизы муниципальных НПА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0-4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Мнения представителей предпринимательского и экспертного сообщества учитываются при проведении ОРВ и экспертизы в </w:t>
            </w:r>
            <w:r>
              <w:rPr>
                <w:rFonts w:ascii="Times New Roman" w:hAnsi="Times New Roman"/>
                <w:sz w:val="24"/>
              </w:rPr>
              <w:t>муниципальном образовании Камчатского края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0-4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Выводы, содержащиеся в заключениях об ОРВ, учитываются при принятии проектов муниципальных НПА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0-4</w:t>
            </w:r>
          </w:p>
        </w:tc>
      </w:tr>
    </w:tbl>
    <w:p w14:paraId="E1000000">
      <w:pPr>
        <w:spacing w:after="0" w:line="240" w:lineRule="auto"/>
        <w:ind w:firstLine="709" w:left="0"/>
        <w:contextualSpacing w:val="1"/>
        <w:jc w:val="right"/>
      </w:pPr>
    </w:p>
    <w:p w14:paraId="E2000000">
      <w:pPr>
        <w:spacing w:after="0" w:line="240" w:lineRule="auto"/>
        <w:ind w:firstLine="709" w:left="0"/>
        <w:contextualSpacing w:val="1"/>
        <w:jc w:val="right"/>
      </w:pPr>
    </w:p>
    <w:p w14:paraId="E3000000">
      <w:pPr>
        <w:spacing w:after="0" w:line="240" w:lineRule="auto"/>
        <w:ind w:firstLine="709" w:left="0"/>
        <w:contextualSpacing w:val="1"/>
        <w:jc w:val="right"/>
      </w:pPr>
    </w:p>
    <w:p w14:paraId="E4000000">
      <w:pPr>
        <w:spacing w:after="0" w:line="240" w:lineRule="auto"/>
        <w:ind w:firstLine="709" w:left="0"/>
        <w:contextualSpacing w:val="1"/>
        <w:jc w:val="right"/>
      </w:pPr>
    </w:p>
    <w:p w14:paraId="E5000000">
      <w:pPr>
        <w:spacing w:after="0" w:line="240" w:lineRule="auto"/>
        <w:ind w:firstLine="709" w:left="0"/>
        <w:contextualSpacing w:val="1"/>
        <w:jc w:val="right"/>
      </w:pPr>
    </w:p>
    <w:p w14:paraId="E6000000">
      <w:pPr>
        <w:spacing w:after="0" w:line="240" w:lineRule="auto"/>
        <w:ind w:firstLine="709" w:left="0"/>
        <w:contextualSpacing w:val="1"/>
        <w:jc w:val="right"/>
      </w:pPr>
    </w:p>
    <w:p w14:paraId="E7000000">
      <w:pPr>
        <w:spacing w:after="0" w:line="240" w:lineRule="auto"/>
        <w:ind w:firstLine="709" w:left="0"/>
        <w:contextualSpacing w:val="1"/>
        <w:jc w:val="right"/>
      </w:pPr>
    </w:p>
    <w:p w14:paraId="E8000000">
      <w:pPr>
        <w:spacing w:after="0" w:line="240" w:lineRule="auto"/>
        <w:ind w:firstLine="709" w:left="0"/>
        <w:contextualSpacing w:val="1"/>
        <w:jc w:val="right"/>
      </w:pPr>
    </w:p>
    <w:p w14:paraId="E9000000">
      <w:pPr>
        <w:spacing w:after="0" w:line="240" w:lineRule="auto"/>
        <w:ind w:firstLine="709" w:left="0"/>
        <w:contextualSpacing w:val="1"/>
        <w:jc w:val="right"/>
      </w:pPr>
    </w:p>
    <w:p w14:paraId="EA000000">
      <w:pPr>
        <w:spacing w:after="0" w:line="240" w:lineRule="auto"/>
        <w:ind w:firstLine="709" w:left="0"/>
        <w:contextualSpacing w:val="1"/>
        <w:jc w:val="right"/>
      </w:pPr>
    </w:p>
    <w:p w14:paraId="EB000000">
      <w:pPr>
        <w:spacing w:after="0" w:line="240" w:lineRule="auto"/>
        <w:ind w:firstLine="709" w:left="0"/>
        <w:contextualSpacing w:val="1"/>
        <w:jc w:val="right"/>
      </w:pPr>
    </w:p>
    <w:p w14:paraId="EC000000">
      <w:pPr>
        <w:spacing w:after="0" w:line="240" w:lineRule="auto"/>
        <w:ind w:firstLine="709" w:left="0"/>
        <w:contextualSpacing w:val="1"/>
        <w:jc w:val="right"/>
      </w:pPr>
    </w:p>
    <w:p w14:paraId="ED000000">
      <w:pPr>
        <w:spacing w:after="0" w:line="240" w:lineRule="auto"/>
        <w:ind w:firstLine="709" w:left="0"/>
        <w:contextualSpacing w:val="1"/>
        <w:jc w:val="right"/>
      </w:pPr>
    </w:p>
    <w:p w14:paraId="EE000000">
      <w:pPr>
        <w:spacing w:after="0" w:line="240" w:lineRule="auto"/>
        <w:ind w:firstLine="709" w:left="0"/>
        <w:contextualSpacing w:val="1"/>
        <w:jc w:val="right"/>
      </w:pPr>
    </w:p>
    <w:p w14:paraId="EF000000">
      <w:pPr>
        <w:spacing w:after="0" w:line="240" w:lineRule="auto"/>
        <w:ind w:firstLine="709" w:left="0"/>
        <w:contextualSpacing w:val="1"/>
        <w:jc w:val="right"/>
      </w:pPr>
    </w:p>
    <w:p w14:paraId="F0000000">
      <w:pPr>
        <w:spacing w:after="0" w:line="240" w:lineRule="auto"/>
        <w:ind w:firstLine="709" w:left="0"/>
        <w:contextualSpacing w:val="1"/>
        <w:jc w:val="right"/>
      </w:pPr>
    </w:p>
    <w:p w14:paraId="F1000000">
      <w:pPr>
        <w:spacing w:after="0" w:line="240" w:lineRule="auto"/>
        <w:ind w:firstLine="709" w:left="0"/>
        <w:contextualSpacing w:val="1"/>
        <w:jc w:val="right"/>
      </w:pPr>
    </w:p>
    <w:p w14:paraId="F2000000">
      <w:pPr>
        <w:spacing w:after="0" w:line="240" w:lineRule="auto"/>
        <w:ind w:firstLine="709" w:left="0"/>
        <w:contextualSpacing w:val="1"/>
        <w:jc w:val="right"/>
      </w:pPr>
    </w:p>
    <w:p w14:paraId="F3000000">
      <w:pPr>
        <w:spacing w:after="0" w:line="240" w:lineRule="auto"/>
        <w:ind w:firstLine="709" w:left="0"/>
        <w:contextualSpacing w:val="1"/>
        <w:jc w:val="right"/>
      </w:pPr>
    </w:p>
    <w:p w14:paraId="F4000000">
      <w:pPr>
        <w:spacing w:after="0" w:line="240" w:lineRule="auto"/>
        <w:ind w:firstLine="709" w:left="0"/>
        <w:contextualSpacing w:val="1"/>
        <w:jc w:val="right"/>
      </w:pPr>
    </w:p>
    <w:p w14:paraId="F5000000">
      <w:pPr>
        <w:spacing w:after="0" w:line="240" w:lineRule="auto"/>
        <w:ind w:firstLine="709" w:left="0"/>
        <w:contextualSpacing w:val="1"/>
        <w:jc w:val="right"/>
      </w:pPr>
    </w:p>
    <w:p w14:paraId="F6000000">
      <w:pPr>
        <w:spacing w:after="0" w:line="240" w:lineRule="auto"/>
        <w:ind w:firstLine="709" w:left="0"/>
        <w:contextualSpacing w:val="1"/>
        <w:jc w:val="right"/>
      </w:pPr>
    </w:p>
    <w:p w14:paraId="F7000000">
      <w:pPr>
        <w:spacing w:after="0" w:line="240" w:lineRule="auto"/>
        <w:ind w:firstLine="709" w:left="0"/>
        <w:contextualSpacing w:val="1"/>
        <w:jc w:val="right"/>
      </w:pPr>
    </w:p>
    <w:p w14:paraId="F8000000">
      <w:pPr>
        <w:spacing w:after="0" w:line="240" w:lineRule="auto"/>
        <w:ind w:firstLine="709" w:left="0"/>
        <w:contextualSpacing w:val="1"/>
        <w:jc w:val="right"/>
      </w:pPr>
    </w:p>
    <w:p w14:paraId="F9000000">
      <w:pPr>
        <w:spacing w:after="0" w:line="240" w:lineRule="auto"/>
        <w:ind w:firstLine="709" w:left="0"/>
        <w:contextualSpacing w:val="1"/>
        <w:jc w:val="right"/>
      </w:pPr>
    </w:p>
    <w:p w14:paraId="FA000000">
      <w:pPr>
        <w:spacing w:after="0" w:line="240" w:lineRule="auto"/>
        <w:ind w:firstLine="709" w:left="0"/>
        <w:contextualSpacing w:val="1"/>
        <w:jc w:val="right"/>
      </w:pPr>
    </w:p>
    <w:p w14:paraId="FB000000">
      <w:pPr>
        <w:spacing w:after="0" w:line="240" w:lineRule="auto"/>
        <w:ind w:firstLine="709" w:left="0"/>
        <w:contextualSpacing w:val="1"/>
        <w:jc w:val="right"/>
      </w:pPr>
    </w:p>
    <w:p w14:paraId="FC000000">
      <w:pPr>
        <w:spacing w:after="0" w:line="240" w:lineRule="auto"/>
        <w:ind w:firstLine="709" w:left="0"/>
        <w:contextualSpacing w:val="1"/>
        <w:jc w:val="right"/>
      </w:pPr>
    </w:p>
    <w:p w14:paraId="FD000000">
      <w:pPr>
        <w:spacing w:after="0" w:line="240" w:lineRule="auto"/>
        <w:ind w:firstLine="709" w:left="0"/>
        <w:contextualSpacing w:val="1"/>
        <w:jc w:val="right"/>
      </w:pPr>
    </w:p>
    <w:p w14:paraId="FE000000">
      <w:pPr>
        <w:spacing w:after="0" w:line="240" w:lineRule="auto"/>
        <w:ind w:firstLine="709" w:left="0"/>
        <w:contextualSpacing w:val="1"/>
        <w:jc w:val="right"/>
      </w:pPr>
    </w:p>
    <w:tbl>
      <w:tblPr>
        <w:tblStyle w:val="Style_2"/>
        <w:tblInd w:type="dxa" w:w="467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961"/>
      </w:tblGrid>
      <w:tr>
        <w:tc>
          <w:tcPr>
            <w:tcW w:type="dxa" w:w="49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 w:firstLine="0" w:left="6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</w:p>
          <w:p w14:paraId="00010000">
            <w:pPr>
              <w:spacing w:after="0" w:line="240" w:lineRule="auto"/>
              <w:ind w:firstLine="0" w:left="6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Методике формирования рейтинга качества осуществления оценки регулирующего воздействия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и экспертизы в городских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и муниципальных округах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и муниципальных районах Камчатского края</w:t>
            </w:r>
          </w:p>
          <w:p w14:paraId="01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02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формирования рейтинга качества осуществления оценки регулирующег</w:t>
      </w:r>
      <w:r>
        <w:rPr>
          <w:rFonts w:ascii="Times New Roman" w:hAnsi="Times New Roman"/>
          <w:sz w:val="24"/>
        </w:rPr>
        <w:t>о воздействия и экспертизы в городских и муниципальных округах и муниципальных районах Камчатского края</w:t>
      </w:r>
    </w:p>
    <w:p w14:paraId="04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2614"/>
        <w:gridCol w:w="923"/>
        <w:gridCol w:w="3856"/>
        <w:gridCol w:w="1673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 Камчатского края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type="dxa" w:w="3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numPr>
                <w:ilvl w:val="0"/>
                <w:numId w:val="7"/>
              </w:num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«Высший уровень»</w:t>
            </w:r>
          </w:p>
        </w:tc>
        <w:tc>
          <w:tcPr>
            <w:tcW w:type="dxa" w:w="1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80 до 100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 w:firstLine="239" w:left="-239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numPr>
                <w:ilvl w:val="0"/>
                <w:numId w:val="7"/>
              </w:num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«Хороший уровень»</w:t>
            </w:r>
          </w:p>
        </w:tc>
        <w:tc>
          <w:tcPr>
            <w:tcW w:type="dxa" w:w="1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60 до 79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numPr>
                <w:ilvl w:val="0"/>
                <w:numId w:val="7"/>
              </w:numPr>
              <w:spacing w:after="0" w:line="240" w:lineRule="auto"/>
              <w:ind w:right="317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«Удовлетворительный уровень»</w:t>
            </w:r>
          </w:p>
        </w:tc>
        <w:tc>
          <w:tcPr>
            <w:tcW w:type="dxa" w:w="1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40 до 59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numPr>
                <w:ilvl w:val="0"/>
                <w:numId w:val="7"/>
              </w:num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«Неудовлетворительный уровень»</w:t>
            </w:r>
          </w:p>
        </w:tc>
        <w:tc>
          <w:tcPr>
            <w:tcW w:type="dxa" w:w="1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 до 39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(n)</w:t>
            </w: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6010000">
      <w:pPr>
        <w:spacing w:after="0" w:line="240" w:lineRule="auto"/>
        <w:ind w:firstLine="709" w:left="0"/>
        <w:contextualSpacing w:val="1"/>
        <w:jc w:val="center"/>
        <w:rPr>
          <w:sz w:val="24"/>
        </w:rPr>
      </w:pPr>
    </w:p>
    <w:p w14:paraId="37010000">
      <w:pPr>
        <w:spacing w:after="0" w:line="240" w:lineRule="auto"/>
        <w:ind w:firstLine="709" w:left="0" w:right="140"/>
        <w:contextualSpacing w:val="1"/>
        <w:jc w:val="right"/>
        <w:rPr>
          <w:b w:val="1"/>
          <w:sz w:val="24"/>
        </w:rPr>
      </w:pPr>
    </w:p>
    <w:p w14:paraId="38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39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3A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3B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3C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3D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3E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3F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0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1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2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3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4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5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6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7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8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p w14:paraId="49010000">
      <w:pPr>
        <w:spacing w:after="0" w:line="240" w:lineRule="auto"/>
        <w:ind w:firstLine="709" w:left="0" w:right="140"/>
        <w:contextualSpacing w:val="1"/>
        <w:jc w:val="right"/>
        <w:rPr>
          <w:b w:val="1"/>
        </w:rPr>
      </w:pPr>
    </w:p>
    <w:tbl>
      <w:tblPr>
        <w:tblStyle w:val="Style_2"/>
        <w:tblInd w:type="dxa" w:w="453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962"/>
      </w:tblGrid>
      <w:tr>
        <w:tc>
          <w:tcPr>
            <w:tcW w:type="dxa" w:w="49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 w:firstLine="0" w:left="46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3 </w:t>
            </w:r>
          </w:p>
          <w:p w14:paraId="4B010000">
            <w:pPr>
              <w:spacing w:after="0" w:line="240" w:lineRule="auto"/>
              <w:ind w:firstLine="0" w:left="46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Методике формирования рейтинга качества осуществления оценки регулирующего воздействия </w:t>
            </w:r>
            <w:r>
              <w:rPr>
                <w:rFonts w:ascii="Times New Roman" w:hAnsi="Times New Roman"/>
                <w:sz w:val="28"/>
              </w:rPr>
              <w:t xml:space="preserve">и экспертизы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в городских и муниципальных округах и муниципальных районах Камчатского края</w:t>
            </w:r>
          </w:p>
          <w:p w14:paraId="4C010000">
            <w:pPr>
              <w:spacing w:after="0" w:line="240" w:lineRule="auto"/>
              <w:ind w:right="140"/>
              <w:contextualSpacing w:val="1"/>
              <w:jc w:val="right"/>
              <w:rPr>
                <w:rFonts w:ascii="Times New Roman" w:hAnsi="Times New Roman"/>
                <w:b w:val="1"/>
              </w:rPr>
            </w:pPr>
          </w:p>
        </w:tc>
      </w:tr>
    </w:tbl>
    <w:p w14:paraId="4D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E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запроса информации, используемой для формирования рейтинга качества осуществления оценки регулирующего воздействия и экспертизы</w:t>
      </w:r>
    </w:p>
    <w:p w14:paraId="4F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муниципальных образованиях</w:t>
      </w:r>
      <w:r>
        <w:rPr>
          <w:rFonts w:ascii="Times New Roman" w:hAnsi="Times New Roman"/>
          <w:sz w:val="24"/>
        </w:rPr>
        <w:t xml:space="preserve"> Камчатского края</w:t>
      </w:r>
    </w:p>
    <w:p w14:paraId="50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85"/>
        <w:gridCol w:w="6785"/>
        <w:gridCol w:w="1872"/>
      </w:tblGrid>
      <w:tr>
        <w:tc>
          <w:tcPr>
            <w:tcW w:type="dxa" w:w="94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ОБЩИЕ СВЕДЕНИЯ</w:t>
            </w:r>
          </w:p>
          <w:p w14:paraId="5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44"/>
        </w:trPr>
        <w:tc>
          <w:tcPr>
            <w:tcW w:type="dxa" w:w="7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составления</w:t>
            </w:r>
          </w:p>
        </w:tc>
      </w:tr>
      <w:tr>
        <w:tc>
          <w:tcPr>
            <w:tcW w:type="dxa" w:w="75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contextualSpacing w:val="1"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________202_г.</w:t>
            </w:r>
          </w:p>
          <w:p w14:paraId="5801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</w:p>
        </w:tc>
      </w:tr>
      <w:tr>
        <w:tc>
          <w:tcPr>
            <w:tcW w:type="dxa" w:w="94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Блок 1 «Нормативное правовое закрепление и механизм проведения ОРВ проектов муниципальных НПА и экспертизы муниципальных НПА» </w:t>
            </w:r>
          </w:p>
          <w:p w14:paraId="5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 </w:t>
            </w:r>
            <w:r>
              <w:rPr>
                <w:rFonts w:ascii="Times New Roman" w:hAnsi="Times New Roman"/>
                <w:sz w:val="24"/>
              </w:rPr>
              <w:t>уполномоченный орган, ответственный за внедрение процедуры оценки регулирующего воздействия (далее – ОРВ) проектов муниципальных нормативных правовых актов (далее – НПА), выполняющий, функции нормативного правового, информационного, мето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</w:rPr>
              <w:t>дического обеспечен</w:t>
            </w:r>
            <w:r>
              <w:rPr>
                <w:rFonts w:ascii="Times New Roman" w:hAnsi="Times New Roman"/>
                <w:sz w:val="24"/>
              </w:rPr>
              <w:t>ия ОРВ проектов муниципальных НПА и оценки качества проведения процедуры ОРВ проектов муниципальных НПА, а также на проведение экспертизы муниципальных НПА</w:t>
            </w:r>
          </w:p>
          <w:p w14:paraId="5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5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 xml:space="preserve">полное наименование структурного подразделения, реквизиты муниципального НПА об утверждении </w:t>
            </w:r>
            <w:r>
              <w:rPr>
                <w:rFonts w:ascii="Times New Roman" w:hAnsi="Times New Roman"/>
                <w:i w:val="1"/>
                <w:sz w:val="24"/>
              </w:rPr>
              <w:t>уполномоченного органа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 порядок проведения процедуры ОРВ проектов муниципальных НПА: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contextualSpacing w:val="1"/>
              <w:jc w:val="center"/>
              <w:rPr>
                <w:b w:val="1"/>
                <w:i w:val="1"/>
                <w:sz w:val="24"/>
              </w:rPr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разработчиком которых является администрация муниципального образования Камчатского края</w:t>
            </w:r>
          </w:p>
          <w:p w14:paraId="6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6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 xml:space="preserve">реквизиты муниципального НПА, регламентирующего </w:t>
            </w:r>
            <w:r>
              <w:rPr>
                <w:rFonts w:ascii="Times New Roman" w:hAnsi="Times New Roman"/>
                <w:i w:val="1"/>
                <w:sz w:val="24"/>
              </w:rPr>
              <w:t>проведение процедуры ОРВ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разработчиком которых является представительный орган местного самоуправления муниципального образования Камчатского края</w:t>
            </w:r>
          </w:p>
          <w:p w14:paraId="6B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6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реквизиты муниципального НПА, регламентирующего проведение процедуры ОРВ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ОРВ проводится, начиная со стадии обсуждения идеи (концепции) нового правового регулирования</w:t>
            </w:r>
          </w:p>
          <w:p w14:paraId="70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7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указать положения муниципального НПА)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проведения публичных консультаций по проектам муниципальных НПА составляет не менее 20, 10 и 5 </w:t>
            </w:r>
            <w:r>
              <w:rPr>
                <w:rFonts w:ascii="Times New Roman" w:hAnsi="Times New Roman"/>
                <w:sz w:val="24"/>
              </w:rPr>
              <w:t>рабочих дней для высокой, средней и низкой степеней регулирующего воздействия соответственно</w:t>
            </w:r>
          </w:p>
          <w:p w14:paraId="75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7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указать положения муниципального НПА)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____ (дней)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ОРВ проектов муниципальных НПА осуществляется с использованием количественных методов, делается вывод о </w:t>
            </w:r>
            <w:r>
              <w:rPr>
                <w:rFonts w:ascii="Times New Roman" w:hAnsi="Times New Roman"/>
                <w:sz w:val="24"/>
              </w:rPr>
              <w:t>возможных альтернативных способах предлагаемого регулирования: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rPr>
          <w:trHeight w:hRule="atLeast" w:val="719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 w:firstLine="0" w:left="29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1.5.1.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заключений об ОРВ;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 w:firstLine="0" w:left="29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1.5.2.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заключения об ОРВ, подготовленные с использованием количественных методов и выводами о возможных альтернативных способах</w:t>
            </w:r>
            <w:r>
              <w:rPr>
                <w:rFonts w:ascii="Times New Roman" w:hAnsi="Times New Roman"/>
                <w:sz w:val="24"/>
              </w:rPr>
              <w:t xml:space="preserve"> предлагаемого регулирования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ОРВ учитывается степень регулирующего воздействия проектов муниципальных НПА</w:t>
            </w:r>
          </w:p>
          <w:p w14:paraId="83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8401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указать положения муниципального НПА)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Нормативно закреплен механизм учета выводов, содержащихся в </w:t>
            </w:r>
            <w:r>
              <w:rPr>
                <w:rFonts w:ascii="Times New Roman" w:hAnsi="Times New Roman"/>
                <w:sz w:val="24"/>
              </w:rPr>
              <w:t>заключениях об ОРВ</w:t>
            </w:r>
          </w:p>
          <w:p w14:paraId="88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8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указать положения муниципального НПА)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 закреплено обязательное наличие заключения об ОРВ для проектов муниципальных НПА, регулирующих отношения в установленной предметной области проведения ОРВ</w:t>
            </w:r>
          </w:p>
          <w:p w14:paraId="8D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8E010000">
            <w:pPr>
              <w:spacing w:after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 xml:space="preserve">указать </w:t>
            </w:r>
            <w:r>
              <w:rPr>
                <w:rFonts w:ascii="Times New Roman" w:hAnsi="Times New Roman"/>
                <w:i w:val="1"/>
                <w:sz w:val="24"/>
              </w:rPr>
              <w:t>положения муниципального НПА)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 порядок проведения экспертизы муниципальных НПА</w:t>
            </w:r>
          </w:p>
          <w:p w14:paraId="9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9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реквизиты муниципального НПА, регламентирующего проведение процедуры экспертизы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 закреплена процедура урегулирования разногласи</w:t>
            </w:r>
            <w:r>
              <w:rPr>
                <w:rFonts w:ascii="Times New Roman" w:hAnsi="Times New Roman"/>
                <w:sz w:val="24"/>
              </w:rPr>
              <w:t>й, выявленных в ходе проведения ОРВ проектов муниципальных НПА и экспертизы муниципальных НПА</w:t>
            </w:r>
          </w:p>
          <w:p w14:paraId="97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9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указать положения муниципального НПА)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Утверждены формы документов, необходимых для проведения ОРВ проектов муниципальных НПА и экспертизы </w:t>
            </w:r>
            <w:r>
              <w:rPr>
                <w:rFonts w:ascii="Times New Roman" w:hAnsi="Times New Roman"/>
                <w:sz w:val="24"/>
              </w:rPr>
              <w:t>муниципальных НПА</w:t>
            </w:r>
          </w:p>
          <w:p w14:paraId="9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 w14:paraId="9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указать положения муниципального НПА)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94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Блок 2 «Практический опыт проведения процедуры ОРВ проектов муниципальных НПА и экспертизы муниципальных НПА» </w:t>
            </w:r>
          </w:p>
          <w:p w14:paraId="A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систематической основе проводится ОРВ проектов муниципальных НПА: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contextualSpacing w:val="1"/>
              <w:jc w:val="center"/>
              <w:rPr>
                <w:b w:val="1"/>
                <w:i w:val="1"/>
                <w:sz w:val="24"/>
              </w:rPr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заключений об ОРВ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положительных заключений об ОРВ, разработчиком которых является администрация муниципального образования Камчатского края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положительных заключений </w:t>
            </w:r>
            <w:r>
              <w:rPr>
                <w:rFonts w:ascii="Times New Roman" w:hAnsi="Times New Roman"/>
                <w:sz w:val="24"/>
              </w:rPr>
              <w:t>об ОРВ, разработчиком которых является представительный орган местного самоуправления муниципального образования Камчатского края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отрицательных заключений об ОРВ, разработчиком которых является администрация муниципального </w:t>
            </w:r>
            <w:r>
              <w:rPr>
                <w:rFonts w:ascii="Times New Roman" w:hAnsi="Times New Roman"/>
                <w:sz w:val="24"/>
              </w:rPr>
              <w:t>образования Камчатского края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отрицательных заключений об ОРВ, разработчиком которых является представительный орган местного самоуправления муниципального образования Камчатского края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систематической </w:t>
            </w:r>
            <w:r>
              <w:rPr>
                <w:rFonts w:ascii="Times New Roman" w:hAnsi="Times New Roman"/>
                <w:sz w:val="24"/>
              </w:rPr>
              <w:t>основе проводится экспертиза муниципальных НПА: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after="0" w:line="240" w:lineRule="auto"/>
              <w:ind/>
              <w:contextualSpacing w:val="1"/>
              <w:jc w:val="center"/>
              <w:rPr>
                <w:b w:val="1"/>
                <w:i w:val="1"/>
                <w:sz w:val="24"/>
              </w:rPr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муниципальных НПА, включенных в Перечень муниципальных НПА, в отношении которых проводится экспертиза на соответствующий год</w:t>
            </w:r>
          </w:p>
          <w:p w14:paraId="B9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B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реквизиты муниципального НПА, утверждающего Перечень, адрес р</w:t>
            </w:r>
            <w:r>
              <w:rPr>
                <w:rFonts w:ascii="Times New Roman" w:hAnsi="Times New Roman"/>
                <w:i w:val="1"/>
                <w:sz w:val="24"/>
              </w:rPr>
              <w:t>азмещения материалов в сети «Интернет»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rPr>
          <w:trHeight w:hRule="atLeast" w:val="1338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положительных заключений по итогам экспертизы муниципальных НПА</w:t>
            </w:r>
          </w:p>
          <w:p w14:paraId="B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B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место для текстового описания, адрес размещения материалов в сети «Интернет»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rPr>
          <w:trHeight w:hRule="atLeast" w:val="1578"/>
        </w:trP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муниципальных НПА, по итогам экспертизы которых выявлены положения, затрудняющие ведение предпринимательской и инвестиционной деятельности</w:t>
            </w:r>
          </w:p>
          <w:p w14:paraId="C3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C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</w:rPr>
              <w:t>место для текстового описания, адрес размещения материалов в сети «Интернет»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>муниципальных НПА, по результатам экспертизы которых в них внесены изменения или принято решение об их отмене</w:t>
            </w:r>
          </w:p>
          <w:p w14:paraId="C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(место для текстового описания, адрес размещения материалов в сети «Интернет»)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2.2.5.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муниципальных НПА, по результатам </w:t>
            </w:r>
            <w:r>
              <w:rPr>
                <w:rFonts w:ascii="Times New Roman" w:hAnsi="Times New Roman"/>
                <w:sz w:val="24"/>
              </w:rPr>
              <w:t>экспертизы которых остались без изменений</w:t>
            </w:r>
          </w:p>
          <w:p w14:paraId="CC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C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(место для текстового описания, адрес размещения материалов в сети «Интернет»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Указать число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официальном сайте администрации муниципального образования Камчатского края в разделе «ОРВ» приведены практичес</w:t>
            </w:r>
            <w:r>
              <w:rPr>
                <w:rFonts w:ascii="Times New Roman" w:hAnsi="Times New Roman"/>
                <w:sz w:val="24"/>
              </w:rPr>
              <w:t>кие примеры проведения ОРВ и экспертизы в муниципальном образовании Камчатского края</w:t>
            </w:r>
          </w:p>
          <w:p w14:paraId="D1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D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(место для текстового описания, адрес размещения материалов в сети «Интернет»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94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D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Блок 3 «Методическое и организационное сопровождение»</w:t>
            </w:r>
          </w:p>
          <w:p w14:paraId="D7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НПА, регламентирующие процедуру проведения ОРВ и экспертизы, а также типовые формы документов, необходимых для проведения процедуры ОРВ и экспертизы, размещены в сети «Интернет» на официальном сайте администрации муниципального образования Ка</w:t>
            </w:r>
            <w:r>
              <w:rPr>
                <w:rFonts w:ascii="Times New Roman" w:hAnsi="Times New Roman"/>
                <w:sz w:val="24"/>
              </w:rPr>
              <w:t>мчатского края</w:t>
            </w:r>
          </w:p>
          <w:p w14:paraId="DA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D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(место для текстового описания, адрес размещения материалов в сети «Интернет»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ОРВ проектов муниципальных НПА и экспертизе муниципальных НПА размещается:</w:t>
            </w:r>
          </w:p>
          <w:p w14:paraId="DF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after="0" w:line="240" w:lineRule="auto"/>
              <w:ind/>
              <w:contextualSpacing w:val="1"/>
              <w:jc w:val="center"/>
              <w:rPr>
                <w:b w:val="1"/>
                <w:i w:val="1"/>
                <w:sz w:val="24"/>
              </w:rPr>
            </w:pP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официальном сайте администрации муниципального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E3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E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(место для текстового описания, адрес размещения материалов в сети «Интернет»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3.2.2.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иных сайтах в сети «Интернет»</w:t>
            </w:r>
          </w:p>
          <w:p w14:paraId="E8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E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(место для текстового описания, адрес размещения материалов в сети «Интернет»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муниципальном </w:t>
            </w:r>
            <w:r>
              <w:rPr>
                <w:rFonts w:ascii="Times New Roman" w:hAnsi="Times New Roman"/>
                <w:sz w:val="24"/>
              </w:rPr>
              <w:t>образовании Камчатского края создан и действует коллегиальный совещательный орган по вопросам ОРВ и экспертизы</w:t>
            </w:r>
          </w:p>
          <w:p w14:paraId="ED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EE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(указать положения муниципального НПА, адрес размещения материалов в сети «Интернет», даты заседаний коллегиального совещательного органа)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Проводятся мероприятия, посвященные реализации института ОРВ в муниципальных образованиях Камчатского края.</w:t>
            </w:r>
          </w:p>
          <w:p w14:paraId="F2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прошедших и (или) готовящихся мероприятиях (событиях) в сфере ОРВ регулярно публикуются в сети Интернет, СМИ</w:t>
            </w:r>
          </w:p>
          <w:p w14:paraId="F3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F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(место для тексто</w:t>
            </w:r>
            <w:r>
              <w:rPr>
                <w:rFonts w:ascii="Times New Roman" w:hAnsi="Times New Roman"/>
                <w:i w:val="1"/>
                <w:sz w:val="24"/>
              </w:rPr>
              <w:t>вого описания, адрес размещения материалов в сети «Интернет», СМИ)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  <w:tr>
        <w:tc>
          <w:tcPr>
            <w:tcW w:type="dxa" w:w="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3.5.</w:t>
            </w:r>
          </w:p>
        </w:tc>
        <w:tc>
          <w:tcPr>
            <w:tcW w:type="dxa" w:w="6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Заключены соглашения о взаимодействии при проведении процедуры ОРВ проектов муниципальных НПА и экспертизы муниципальных НПА с представителями предпринимательского сообщества, </w:t>
            </w:r>
            <w:r>
              <w:rPr>
                <w:rFonts w:ascii="Times New Roman" w:hAnsi="Times New Roman"/>
                <w:sz w:val="24"/>
              </w:rPr>
              <w:t>общественными объединениями в сфере предпринимательской и инвестиционной деятельности</w:t>
            </w:r>
          </w:p>
          <w:p w14:paraId="F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 w14:paraId="F9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(место для текстового описания, количество заключенных соглашений)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Да/Нет</w:t>
            </w:r>
          </w:p>
        </w:tc>
      </w:tr>
    </w:tbl>
    <w:p w14:paraId="FB010000">
      <w:pPr>
        <w:spacing w:line="240" w:lineRule="auto"/>
        <w:ind/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6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6_ch"/>
    <w:link w:val="Style_11"/>
    <w:rPr>
      <w:rFonts w:ascii="Times New Roman" w:hAnsi="Times New Roman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Гиперссылка1"/>
    <w:basedOn w:val="Style_14"/>
    <w:link w:val="Style_5_ch"/>
    <w:rPr>
      <w:color w:themeColor="hyperlink" w:val="0563C1"/>
      <w:u w:val="single"/>
    </w:rPr>
  </w:style>
  <w:style w:styleId="Style_5_ch" w:type="character">
    <w:name w:val="Гиперссылка1"/>
    <w:basedOn w:val="Style_14_ch"/>
    <w:link w:val="Style_5"/>
    <w:rPr>
      <w:color w:themeColor="hyperlink" w:val="0563C1"/>
      <w:u w:val="single"/>
    </w:rPr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1" w:type="paragraph">
    <w:name w:val="toc 1"/>
    <w:next w:val="Style_6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6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6_ch"/>
    <w:link w:val="Style_23"/>
    <w:rPr>
      <w:rFonts w:ascii="Segoe UI" w:hAnsi="Segoe UI"/>
      <w:sz w:val="18"/>
    </w:rPr>
  </w:style>
  <w:style w:styleId="Style_24" w:type="paragraph">
    <w:name w:val="toc 9"/>
    <w:next w:val="Style_6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Plain Text"/>
    <w:basedOn w:val="Style_6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6_ch"/>
    <w:link w:val="Style_25"/>
    <w:rPr>
      <w:rFonts w:ascii="Calibri" w:hAnsi="Calibri"/>
    </w:rPr>
  </w:style>
  <w:style w:styleId="Style_26" w:type="paragraph">
    <w:name w:val="toc 8"/>
    <w:next w:val="Style_6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7" w:type="paragraph">
    <w:name w:val="toc 5"/>
    <w:next w:val="Style_6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2024-12-11T04:55:01Z</dcterms:modified>
</cp:coreProperties>
</file>