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rPr>
          <w:trHeight w:hRule="atLeast" w:val="962"/>
        </w:trP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приказ Министерства экономического развития и торговли Камчатского края от 23.05.2014 № 290-П «О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</w:t>
            </w:r>
          </w:p>
        </w:tc>
      </w:tr>
    </w:tbl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экономического развития и торговли Камчатского края от 23.05.2014 № 290-П «О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объектов» следующие изменения:</w:t>
      </w:r>
    </w:p>
    <w:p w14:paraId="19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пункт 4 части 3 изложить в следующей редакции:</w:t>
      </w:r>
    </w:p>
    <w:p w14:paraId="1A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«4) формирования торговой инфраструктуры с учетом типов и специализаций нестационарных торговых объектов;»;</w:t>
      </w:r>
    </w:p>
    <w:p w14:paraId="1B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части 5:</w:t>
      </w:r>
    </w:p>
    <w:p w14:paraId="1C000000">
      <w:pPr>
        <w:pStyle w:val="Style_2"/>
        <w:numPr>
          <w:ilvl w:val="0"/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2 изложить в следующей редакции:</w:t>
      </w:r>
    </w:p>
    <w:p w14:paraId="1D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«2) схема размещения нестационарных торговых объектов (далее – Схема) – документ, содержащий сведения о местах размещения нестационарных торговых объектов на территории муниципального образования, оформленный в виде таблицы и включающий следующую информацию: </w:t>
      </w:r>
    </w:p>
    <w:p w14:paraId="1E000000">
      <w:pPr>
        <w:pStyle w:val="Style_2"/>
        <w:numPr>
          <w:ilvl w:val="0"/>
          <w:numId w:val="2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номер по порядку; </w:t>
      </w:r>
    </w:p>
    <w:p w14:paraId="1F000000">
      <w:pPr>
        <w:pStyle w:val="Style_2"/>
        <w:numPr>
          <w:ilvl w:val="0"/>
          <w:numId w:val="2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место размещения (адресный ориентир) нестационарного торгового объекта; </w:t>
      </w:r>
    </w:p>
    <w:p w14:paraId="20000000">
      <w:pPr>
        <w:pStyle w:val="Style_2"/>
        <w:numPr>
          <w:ilvl w:val="0"/>
          <w:numId w:val="2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площадь земельного участка; </w:t>
      </w:r>
    </w:p>
    <w:p w14:paraId="21000000">
      <w:pPr>
        <w:pStyle w:val="Style_2"/>
        <w:numPr>
          <w:ilvl w:val="0"/>
          <w:numId w:val="2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площадь нестационарного торгового объекта; </w:t>
      </w:r>
    </w:p>
    <w:p w14:paraId="22000000">
      <w:pPr>
        <w:pStyle w:val="Style_2"/>
        <w:numPr>
          <w:ilvl w:val="0"/>
          <w:numId w:val="2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вид собственности земельного участка, здания, сооружения, где расположен нестационарный торговый объект; </w:t>
      </w:r>
    </w:p>
    <w:p w14:paraId="23000000">
      <w:pPr>
        <w:pStyle w:val="Style_2"/>
        <w:numPr>
          <w:ilvl w:val="0"/>
          <w:numId w:val="2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вид нестационарного торгового объекта: торговля (с указанием категории реализуемого товара – продовольственные товары, непродовольственные товары, смешанный ассортимент товаров), общественное питание (с указанием типа предприятия общественного питания в соответствии с разделом 4 ГОСТ 30389-2013 «Межгосударственный стандарт. Услуги общественного питания. Предприятия общественного питания. Классификация и общие требования»), бытовые услуги (с указанием вида оказываемых бытовых услуг); </w:t>
      </w:r>
    </w:p>
    <w:p w14:paraId="24000000">
      <w:pPr>
        <w:pStyle w:val="Style_2"/>
        <w:numPr>
          <w:ilvl w:val="0"/>
          <w:numId w:val="2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специализация нестационарного торгового объекта (с указанием группы реализуемого товара). Указывается, если вид нестационарного торгового объекта – торговля;</w:t>
      </w:r>
    </w:p>
    <w:p w14:paraId="25000000">
      <w:pPr>
        <w:pStyle w:val="Style_2"/>
        <w:numPr>
          <w:ilvl w:val="0"/>
          <w:numId w:val="2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период размещения нестационарного торгового объекта (круглогодичный/сезонный (с ... по ...);</w:t>
      </w:r>
    </w:p>
    <w:p w14:paraId="26000000">
      <w:pPr>
        <w:pStyle w:val="Style_2"/>
        <w:numPr>
          <w:ilvl w:val="0"/>
          <w:numId w:val="2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информация о лице, осуществляющем торговую деятельность в нестационарном торговом объекте (наименование/ИНН);»;</w:t>
      </w:r>
    </w:p>
    <w:p w14:paraId="27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дополнить пунктом 3 следующего содержания:</w:t>
      </w:r>
    </w:p>
    <w:p w14:paraId="28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«3) специализация нестационарного торгового объекта – торговая деятельность, при которой восемьдесят и более процентов всех предлагаемых к продаже товаров от их общего количества составляют товары одной группы, за исключением деятельности по реализации печатной продукции. Специализация нестационарного торгового объекта по реализации печатной продукции определяется, если пятьдесят и более процентов всех предлагаемых к продаже товаров от их общего количества составляет печатная продукция.</w:t>
      </w:r>
    </w:p>
    <w:p w14:paraId="29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определении специализации нестационарного торгового объекта учитываются следующие группы товаров:</w:t>
      </w:r>
    </w:p>
    <w:p w14:paraId="2A000000">
      <w:pPr>
        <w:pStyle w:val="Style_2"/>
        <w:numPr>
          <w:ilvl w:val="0"/>
          <w:numId w:val="3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мясо и мясная продукция;</w:t>
      </w:r>
    </w:p>
    <w:p w14:paraId="2B000000">
      <w:pPr>
        <w:pStyle w:val="Style_2"/>
        <w:numPr>
          <w:ilvl w:val="0"/>
          <w:numId w:val="3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молоко, молочная продукция;</w:t>
      </w:r>
    </w:p>
    <w:p w14:paraId="2C000000">
      <w:pPr>
        <w:pStyle w:val="Style_2"/>
        <w:numPr>
          <w:ilvl w:val="0"/>
          <w:numId w:val="3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рыба, рыбная продукция, морепродукты;</w:t>
      </w:r>
    </w:p>
    <w:p w14:paraId="2D000000">
      <w:pPr>
        <w:pStyle w:val="Style_2"/>
        <w:numPr>
          <w:ilvl w:val="0"/>
          <w:numId w:val="3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овощи, фрукты и ягоды;</w:t>
      </w:r>
    </w:p>
    <w:p w14:paraId="2E000000">
      <w:pPr>
        <w:pStyle w:val="Style_2"/>
        <w:numPr>
          <w:ilvl w:val="0"/>
          <w:numId w:val="3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хлеб, хлебобулочная продукция;</w:t>
      </w:r>
    </w:p>
    <w:p w14:paraId="2F000000">
      <w:pPr>
        <w:pStyle w:val="Style_2"/>
        <w:numPr>
          <w:ilvl w:val="0"/>
          <w:numId w:val="3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печатная продукция;</w:t>
      </w:r>
    </w:p>
    <w:p w14:paraId="30000000">
      <w:pPr>
        <w:pStyle w:val="Style_2"/>
        <w:numPr>
          <w:ilvl w:val="0"/>
          <w:numId w:val="3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товары народных художественных промыслов.»;</w:t>
      </w:r>
    </w:p>
    <w:p w14:paraId="31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части 6 слова «нестационарных торговых объектов» исключить;</w:t>
      </w:r>
    </w:p>
    <w:p w14:paraId="32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в части 7:</w:t>
      </w:r>
    </w:p>
    <w:p w14:paraId="33000000">
      <w:pPr>
        <w:pStyle w:val="Style_2"/>
        <w:numPr>
          <w:ilvl w:val="0"/>
          <w:numId w:val="4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после слова «Схема» дополнить словами «и вносимые в нее изменения»;</w:t>
      </w:r>
    </w:p>
    <w:p w14:paraId="34000000">
      <w:pPr>
        <w:pStyle w:val="Style_2"/>
        <w:numPr>
          <w:ilvl w:val="0"/>
          <w:numId w:val="4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слова «разрабатывается и утверждается» заменить словами «разрабатываются и утверждаются»;</w:t>
      </w:r>
    </w:p>
    <w:p w14:paraId="35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в части 8 словами «Схема, и вносимые в нее изменения,» заменить словами «Схема и вносимые в нее изменения»;</w:t>
      </w:r>
    </w:p>
    <w:p w14:paraId="36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в части 10:</w:t>
      </w:r>
    </w:p>
    <w:p w14:paraId="37000000">
      <w:pPr>
        <w:pStyle w:val="Style_2"/>
        <w:numPr>
          <w:ilvl w:val="0"/>
          <w:numId w:val="5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после слова «Схема» дополнить словами «и вносимые в нее изменения»;</w:t>
      </w:r>
    </w:p>
    <w:p w14:paraId="38000000">
      <w:pPr>
        <w:pStyle w:val="Style_2"/>
        <w:numPr>
          <w:ilvl w:val="0"/>
          <w:numId w:val="5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слово «разрабатывается» заменить словом «разрабатываются»;</w:t>
      </w:r>
    </w:p>
    <w:p w14:paraId="39000000">
      <w:pPr>
        <w:pStyle w:val="Style_2"/>
        <w:numPr>
          <w:ilvl w:val="0"/>
          <w:numId w:val="5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2 слова «по планировке территорий;» заменить словами «по планировке территорий.»</w:t>
      </w:r>
    </w:p>
    <w:p w14:paraId="3A000000">
      <w:pPr>
        <w:pStyle w:val="Style_2"/>
        <w:numPr>
          <w:ilvl w:val="0"/>
          <w:numId w:val="5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пункт 3 признать утратившим силу;</w:t>
      </w:r>
    </w:p>
    <w:p w14:paraId="3B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в части 11:</w:t>
      </w:r>
    </w:p>
    <w:p w14:paraId="3C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после слова «Схемы» дополнить словами «и вносимых в нее изменений»;</w:t>
      </w:r>
    </w:p>
    <w:p w14:paraId="3D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пункт 1 изложить в следующей редакции:</w:t>
      </w:r>
    </w:p>
    <w:p w14:paraId="3E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«1) Схемой должно предусматриваться размещение не менее шестидесяти процентов нестационарных торговых объектов от общего количества нестационарных торговых объектов, используемых субъектами малого или среднего предпринимательства, осуществляющими торговую деятельность;»</w:t>
      </w:r>
    </w:p>
    <w:p w14:paraId="3F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в пункте 2 слова «утверждение Схемы, внесение в нее изменений,» заменить словами «утверждение Схемы и внесение в нее изменений»;</w:t>
      </w:r>
    </w:p>
    <w:p w14:paraId="40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в части 12 после слова «разрабатывает» дополнить словами «и вносит изменения в»;</w:t>
      </w:r>
    </w:p>
    <w:p w14:paraId="41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в части 13:</w:t>
      </w:r>
    </w:p>
    <w:p w14:paraId="42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после слова «Схемы» дополнить словами «и вносимые в нее изменения»;</w:t>
      </w:r>
    </w:p>
    <w:p w14:paraId="43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слово «ее» заменить словом «их»;</w:t>
      </w:r>
    </w:p>
    <w:p w14:paraId="44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слово «подлежит» заменить словами «подлежат»;</w:t>
      </w:r>
    </w:p>
    <w:p w14:paraId="45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в части 14 после слова «Схему» дополнить словами «и вносимые в нее изменения»;</w:t>
      </w:r>
    </w:p>
    <w:p w14:paraId="46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в части 15 слова «Схема, а также вносимые в нее изменения» изменить словами «Схема и вносимые в нее изменения»;</w:t>
      </w:r>
    </w:p>
    <w:p w14:paraId="47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12) в части 17:</w:t>
      </w:r>
    </w:p>
    <w:p w14:paraId="48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слово «схему» заменить словом «Схему»;</w:t>
      </w:r>
    </w:p>
    <w:p w14:paraId="49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пункт 1 изложить в следующей редакции:</w:t>
      </w:r>
    </w:p>
    <w:p w14:paraId="4A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«1) новая застройка районов, микрорайонов муниципальных образований в Камчатском крае;»;</w:t>
      </w:r>
    </w:p>
    <w:p w14:paraId="4B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пункт 3 изложить в следующей редакции:</w:t>
      </w:r>
    </w:p>
    <w:p w14:paraId="4C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«3) прекращение или перепрофилирование деятельности нестационарных торговых объектов;»;</w:t>
      </w:r>
    </w:p>
    <w:p w14:paraId="4D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13) часть 18 признать утратившей силу.</w:t>
      </w:r>
    </w:p>
    <w:p w14:paraId="4E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Внести в приложение к Порядку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 изменения, изложив его в редакции согласно приложению к настоящему приказу.</w:t>
      </w:r>
    </w:p>
    <w:p w14:paraId="4F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Настоящий приказ вступает в силу через 10 дней после дня его официального опубликования.</w:t>
      </w:r>
    </w:p>
    <w:p w14:paraId="5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5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5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5"/>
        <w:gridCol w:w="4394"/>
        <w:gridCol w:w="2268"/>
      </w:tblGrid>
      <w:tr>
        <w:trPr>
          <w:trHeight w:hRule="atLeast" w:val="2220"/>
        </w:trPr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54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А.С. Гончаров</w:t>
            </w:r>
          </w:p>
        </w:tc>
      </w:tr>
    </w:tbl>
    <w:p w14:paraId="57000000">
      <w:pPr>
        <w:pStyle w:val="Style_2"/>
      </w:pPr>
    </w:p>
    <w:p w14:paraId="58000000">
      <w:pPr>
        <w:sectPr>
          <w:headerReference r:id="rId3" w:type="default"/>
          <w:type w:val="nextPage"/>
          <w:pgSz w:h="16838" w:orient="portrait" w:w="11906"/>
          <w:pgMar w:bottom="1134" w:footer="0" w:gutter="0" w:header="709" w:left="1418" w:right="851" w:top="1134"/>
          <w:pgNumType w:fmt="decimal" w:start="1"/>
          <w:titlePg/>
        </w:sectPr>
      </w:pPr>
    </w:p>
    <w:p w14:paraId="59000000">
      <w:pPr>
        <w:pStyle w:val="Style_2"/>
        <w:spacing w:after="0" w:before="0" w:line="240" w:lineRule="auto"/>
        <w:ind w:firstLine="0" w:left="481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</w:rPr>
        <w:t>Приложение к Приказу</w:t>
      </w:r>
    </w:p>
    <w:p w14:paraId="5A000000">
      <w:pPr>
        <w:pStyle w:val="Style_2"/>
        <w:widowControl w:val="0"/>
        <w:spacing w:after="0" w:before="0" w:line="240" w:lineRule="auto"/>
        <w:ind w:firstLine="0" w:left="481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</w:rPr>
        <w:t>Министерства экономического</w:t>
      </w:r>
    </w:p>
    <w:p w14:paraId="5B000000">
      <w:pPr>
        <w:pStyle w:val="Style_2"/>
        <w:widowControl w:val="0"/>
        <w:spacing w:after="0" w:before="0" w:line="240" w:lineRule="auto"/>
        <w:ind w:firstLine="0" w:left="4819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</w:rPr>
        <w:t>развития и торговли Камчатского края</w:t>
      </w:r>
    </w:p>
    <w:p w14:paraId="5C000000">
      <w:pPr>
        <w:pStyle w:val="Style_2"/>
        <w:spacing w:after="0" w:before="0" w:line="240" w:lineRule="auto"/>
        <w:ind w:hanging="1" w:left="-282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от                            №</w:t>
      </w:r>
    </w:p>
    <w:p w14:paraId="5D000000">
      <w:pPr>
        <w:pStyle w:val="Style_2"/>
        <w:spacing w:after="0" w:before="0" w:line="240" w:lineRule="auto"/>
        <w:ind w:hanging="1" w:left="-282" w:right="0"/>
        <w:rPr>
          <w:rFonts w:ascii="Times New Roman" w:hAnsi="Times New Roman"/>
          <w:sz w:val="28"/>
        </w:rPr>
      </w:pPr>
    </w:p>
    <w:p w14:paraId="5E000000">
      <w:pPr>
        <w:pStyle w:val="Style_2"/>
        <w:spacing w:after="0" w:before="0" w:line="240" w:lineRule="auto"/>
        <w:ind w:hanging="1" w:left="-282" w:right="0"/>
        <w:rPr>
          <w:rFonts w:ascii="Times New Roman" w:hAnsi="Times New Roman"/>
          <w:sz w:val="28"/>
        </w:rPr>
      </w:pPr>
    </w:p>
    <w:p w14:paraId="5F000000">
      <w:pPr>
        <w:pStyle w:val="Style_2"/>
        <w:spacing w:after="0" w:before="0" w:line="240" w:lineRule="auto"/>
        <w:ind w:hanging="1" w:left="1034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Порядку</w:t>
      </w:r>
    </w:p>
    <w:p w14:paraId="60000000">
      <w:pPr>
        <w:pStyle w:val="Style_2"/>
        <w:spacing w:after="0" w:before="0" w:line="240" w:lineRule="auto"/>
        <w:ind w:firstLine="0" w:left="1034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разработки и утверждения органами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местного самоуправления    муниципальных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образований в Камчатском крае </w:t>
      </w:r>
    </w:p>
    <w:p w14:paraId="61000000">
      <w:pPr>
        <w:pStyle w:val="Style_2"/>
        <w:spacing w:after="0" w:before="0" w:line="240" w:lineRule="auto"/>
        <w:ind w:firstLine="0" w:left="10348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схемы размещения нестационарных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торговых объектов</w:t>
      </w:r>
    </w:p>
    <w:p w14:paraId="62000000">
      <w:pPr>
        <w:pStyle w:val="Style_2"/>
        <w:spacing w:after="0" w:before="0" w:line="240" w:lineRule="auto"/>
        <w:ind w:firstLine="0" w:left="-567" w:right="0"/>
        <w:rPr>
          <w:rFonts w:ascii="Times New Roman" w:hAnsi="Times New Roman"/>
          <w:sz w:val="28"/>
        </w:rPr>
      </w:pPr>
    </w:p>
    <w:p w14:paraId="63000000">
      <w:pPr>
        <w:pStyle w:val="Style_2"/>
        <w:spacing w:after="0" w:before="0" w:line="240" w:lineRule="auto"/>
        <w:ind w:hanging="3543" w:left="411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</w:t>
      </w:r>
    </w:p>
    <w:p w14:paraId="64000000">
      <w:pPr>
        <w:pStyle w:val="Style_2"/>
        <w:spacing w:after="0" w:before="0" w:line="240" w:lineRule="auto"/>
        <w:ind w:hanging="3543" w:left="4535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размещения нестационарных торговых объектов (далее – НТО) </w:t>
      </w:r>
    </w:p>
    <w:p w14:paraId="65000000">
      <w:pPr>
        <w:pStyle w:val="Style_2"/>
        <w:spacing w:after="0" w:before="0" w:line="240" w:lineRule="auto"/>
        <w:ind w:hanging="3543" w:left="4535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______________________ Камчатского края</w:t>
      </w:r>
    </w:p>
    <w:p w14:paraId="66000000">
      <w:pPr>
        <w:pStyle w:val="Style_2"/>
        <w:spacing w:after="0" w:before="0" w:line="240" w:lineRule="auto"/>
        <w:ind w:hanging="3543" w:left="4535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муниципального образования Камчатского края)</w:t>
      </w:r>
    </w:p>
    <w:p w14:paraId="67000000">
      <w:pPr>
        <w:pStyle w:val="Style_2"/>
        <w:spacing w:after="0" w:before="0" w:line="240" w:lineRule="auto"/>
        <w:ind w:hanging="3543" w:left="4535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40"/>
        <w:gridCol w:w="1955"/>
        <w:gridCol w:w="1200"/>
        <w:gridCol w:w="1111"/>
        <w:gridCol w:w="2310"/>
        <w:gridCol w:w="1080"/>
        <w:gridCol w:w="1530"/>
        <w:gridCol w:w="1756"/>
        <w:gridCol w:w="1919"/>
        <w:gridCol w:w="1934"/>
      </w:tblGrid>
      <w:tr>
        <w:tc>
          <w:tcPr>
            <w:tcW w:type="dxa" w:w="11383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Информация о НТО</w:t>
            </w:r>
          </w:p>
        </w:tc>
        <w:tc>
          <w:tcPr>
            <w:tcW w:type="dxa" w:w="3854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Информация о лице, осуществляющем торговую деятельность в НТО</w:t>
            </w:r>
          </w:p>
        </w:tc>
      </w:tr>
      <w:tr>
        <w:tc>
          <w:tcPr>
            <w:tcW w:type="dxa" w:w="44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№</w:t>
            </w:r>
          </w:p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Место размещения (адресный ориентир) НТО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Площадь</w:t>
            </w:r>
          </w:p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земельного</w:t>
            </w:r>
          </w:p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участка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Площадь</w:t>
            </w:r>
          </w:p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НТО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Вид собственности земельного участка, здания, сооружения, где расположен НТО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Вид НТО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Специализация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Период</w:t>
            </w:r>
          </w:p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размещения</w:t>
            </w:r>
          </w:p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НТО</w:t>
            </w:r>
          </w:p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(круглогодичный/сезонный (c ... по...)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ИНН</w:t>
            </w:r>
          </w:p>
        </w:tc>
      </w:tr>
      <w:tr>
        <w:trPr>
          <w:trHeight w:hRule="atLeast" w:val="245"/>
        </w:trPr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</w:t>
            </w: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</w:p>
        </w:tc>
      </w:tr>
      <w:tr>
        <w:trPr>
          <w:trHeight w:hRule="atLeast" w:val="245"/>
        </w:trPr>
        <w:tc>
          <w:tcPr>
            <w:tcW w:type="dxa" w:w="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&lt;*&gt;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&lt;**&gt;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&lt;***&gt;</w:t>
            </w:r>
          </w:p>
        </w:tc>
        <w:tc>
          <w:tcPr>
            <w:tcW w:type="dxa" w:w="1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pStyle w:val="Style_2"/>
              <w:widowControl w:val="1"/>
              <w:spacing w:after="160" w:before="0" w:line="264" w:lineRule="auto"/>
              <w:ind w:firstLine="0" w:left="0" w:right="0"/>
              <w:jc w:val="left"/>
              <w:rPr>
                <w:sz w:val="22"/>
              </w:rPr>
            </w:pPr>
          </w:p>
        </w:tc>
      </w:tr>
    </w:tbl>
    <w:p w14:paraId="8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90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&lt;*&gt;</w:t>
      </w:r>
      <w:r>
        <w:rPr>
          <w:rFonts w:ascii="Times New Roman" w:hAnsi="Times New Roman"/>
          <w:b w:val="0"/>
          <w:sz w:val="24"/>
        </w:rPr>
        <w:t xml:space="preserve">   – заполняется в соответствии с подпунктом «е» </w:t>
      </w:r>
      <w:r>
        <w:rPr>
          <w:rFonts w:ascii="Times New Roman" w:hAnsi="Times New Roman"/>
          <w:sz w:val="24"/>
        </w:rPr>
        <w:t>пункта 2 части 5 Порядка;</w:t>
      </w:r>
    </w:p>
    <w:p w14:paraId="91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&lt;**&gt; – если вид НТО – торговля, заполняется </w:t>
      </w:r>
      <w:r>
        <w:rPr>
          <w:rFonts w:ascii="Times New Roman" w:hAnsi="Times New Roman"/>
          <w:b w:val="0"/>
          <w:sz w:val="24"/>
        </w:rPr>
        <w:t>в соответствии с пунктом 3 части 5</w:t>
      </w:r>
      <w:r>
        <w:rPr>
          <w:rFonts w:ascii="Times New Roman" w:hAnsi="Times New Roman"/>
          <w:sz w:val="24"/>
        </w:rPr>
        <w:t xml:space="preserve"> Порядка;</w:t>
      </w:r>
    </w:p>
    <w:p w14:paraId="9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&lt;***&gt; </w:t>
      </w:r>
      <w:r>
        <w:rPr>
          <w:rFonts w:ascii="Times New Roman" w:hAnsi="Times New Roman"/>
          <w:b w:val="0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если место размещения НТО свободно, в графе ставится прочерк. Для индивидуальных предпринимателей и физических лиц, не являющихся индивидуальными предпринимателями, указывается фамилия, имя и отчество, а также указание на правовой статус (ИП/К(Ф)Х/самозанятый и др.)</w:t>
      </w:r>
    </w:p>
    <w:p w14:paraId="93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  <w:shd w:fill="95BFFF" w:val="clear"/>
        </w:rPr>
      </w:pPr>
    </w:p>
    <w:p w14:paraId="9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4"/>
          <w:shd w:fill="95BFFF" w:val="clear"/>
        </w:rPr>
      </w:pPr>
    </w:p>
    <w:p w14:paraId="95000000">
      <w:pPr>
        <w:pStyle w:val="Style_2"/>
        <w:spacing w:after="0" w:before="0" w:line="240" w:lineRule="auto"/>
        <w:ind w:firstLine="0" w:left="4819" w:right="0"/>
        <w:jc w:val="right"/>
        <w:rPr>
          <w:rFonts w:ascii="Times New Roman" w:hAnsi="Times New Roman"/>
          <w:sz w:val="28"/>
        </w:rPr>
      </w:pPr>
    </w:p>
    <w:p w14:paraId="96000000">
      <w:pPr>
        <w:pStyle w:val="Style_2"/>
        <w:spacing w:after="0" w:before="0" w:line="240" w:lineRule="auto"/>
        <w:ind w:firstLine="0" w:left="4819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first"/>
      <w:headerReference r:id="rId2" w:type="default"/>
      <w:type w:val="nextPage"/>
      <w:pgSz w:h="11906" w:orient="landscape" w:w="16838"/>
      <w:pgMar w:bottom="1134" w:footer="0" w:gutter="0" w:header="709" w:left="567" w:right="850" w:top="992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russianLower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russianLower"/>
      <w:lvlText w:val="%7)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)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)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russianLower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russianLower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russianLower"/>
      <w:lvlText w:val="%7)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)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)"/>
      <w:lvlJc w:val="right"/>
      <w:pPr>
        <w:tabs>
          <w:tab w:leader="none" w:pos="0" w:val="left"/>
        </w:tabs>
        <w:ind w:hanging="360" w:left="6480"/>
      </w:pPr>
    </w:lvl>
  </w:abstractNum>
  <w:abstractNum w:abstractNumId="2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russianLower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russianLower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russianLower"/>
      <w:lvlText w:val="%7)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)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)"/>
      <w:lvlJc w:val="right"/>
      <w:pPr>
        <w:tabs>
          <w:tab w:leader="none" w:pos="0" w:val="left"/>
        </w:tabs>
        <w:ind w:hanging="360" w:left="6480"/>
      </w:pPr>
    </w:lvl>
  </w:abstractNum>
  <w:abstractNum w:abstractNumId="4">
    <w:lvl w:ilvl="0">
      <w:start w:val="1"/>
      <w:numFmt w:val="russianLower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russianLower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russianLower"/>
      <w:lvlText w:val="%7)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)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)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Contents 9"/>
    <w:link w:val="Style_5_ch"/>
    <w:rPr>
      <w:rFonts w:ascii="XO Thames" w:hAnsi="XO Thames"/>
      <w:sz w:val="28"/>
    </w:rPr>
  </w:style>
  <w:style w:styleId="Style_5_ch" w:type="character">
    <w:name w:val="Contents 9"/>
    <w:link w:val="Style_5"/>
    <w:rPr>
      <w:rFonts w:ascii="XO Thames" w:hAnsi="XO Thames"/>
      <w:sz w:val="28"/>
    </w:rPr>
  </w:style>
  <w:style w:styleId="Style_6" w:type="paragraph">
    <w:name w:val="Internet link"/>
    <w:basedOn w:val="Style_7"/>
    <w:link w:val="Style_6_ch"/>
    <w:rPr>
      <w:color w:themeColor="hyperlink" w:val="0563C1"/>
      <w:u w:val="single"/>
    </w:rPr>
  </w:style>
  <w:style w:styleId="Style_6_ch" w:type="character">
    <w:name w:val="Internet link"/>
    <w:basedOn w:val="Style_7_ch"/>
    <w:link w:val="Style_6"/>
    <w:rPr>
      <w:color w:themeColor="hyperlink" w:val="0563C1"/>
      <w:u w:val="single"/>
    </w:rPr>
  </w:style>
  <w:style w:styleId="Style_8" w:type="paragraph">
    <w:name w:val="toc 2"/>
    <w:next w:val="Style_2"/>
    <w:link w:val="Style_8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7"/>
    <w:link w:val="Style_9_ch"/>
    <w:rPr>
      <w:rFonts w:ascii="XO Thames" w:hAnsi="XO Thames"/>
      <w:sz w:val="28"/>
    </w:rPr>
  </w:style>
  <w:style w:styleId="Style_9_ch" w:type="character">
    <w:name w:val="Contents 7"/>
    <w:link w:val="Style_9"/>
    <w:rPr>
      <w:rFonts w:ascii="XO Thames" w:hAnsi="XO Thames"/>
      <w:sz w:val="28"/>
    </w:rPr>
  </w:style>
  <w:style w:styleId="Style_10" w:type="paragraph">
    <w:name w:val="Содержимое врезки"/>
    <w:basedOn w:val="Style_2"/>
    <w:link w:val="Style_10_ch"/>
  </w:style>
  <w:style w:styleId="Style_10_ch" w:type="character">
    <w:name w:val="Содержимое врезки"/>
    <w:basedOn w:val="Style_2_ch"/>
    <w:link w:val="Style_10"/>
  </w:style>
  <w:style w:styleId="Style_11" w:type="paragraph">
    <w:name w:val="toc 4"/>
    <w:next w:val="Style_2"/>
    <w:link w:val="Style_1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6"/>
    <w:next w:val="Style_2"/>
    <w:link w:val="Style_1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toc 7"/>
    <w:next w:val="Style_2"/>
    <w:link w:val="Style_13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7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Contents 4"/>
    <w:link w:val="Style_14_ch"/>
    <w:rPr>
      <w:rFonts w:ascii="XO Thames" w:hAnsi="XO Thames"/>
      <w:sz w:val="28"/>
    </w:rPr>
  </w:style>
  <w:style w:styleId="Style_14_ch" w:type="character">
    <w:name w:val="Contents 4"/>
    <w:link w:val="Style_14"/>
    <w:rPr>
      <w:rFonts w:ascii="XO Thames" w:hAnsi="XO Thames"/>
      <w:sz w:val="28"/>
    </w:rPr>
  </w:style>
  <w:style w:styleId="Style_7" w:type="paragraph">
    <w:name w:val="Default Paragraph Font"/>
    <w:link w:val="Style_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Default Paragraph Font"/>
    <w:link w:val="Style_7"/>
    <w:rPr>
      <w:rFonts w:asciiTheme="minorAscii" w:hAnsiTheme="minorHAnsi"/>
      <w:color w:val="000000"/>
      <w:spacing w:val="0"/>
      <w:sz w:val="22"/>
    </w:rPr>
  </w:style>
  <w:style w:styleId="Style_15" w:type="paragraph">
    <w:name w:val="Колонтитул"/>
    <w:link w:val="Style_15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5_ch" w:type="character">
    <w:name w:val="Колонтитул"/>
    <w:link w:val="Style_15"/>
    <w:rPr>
      <w:rFonts w:ascii="XO Thames" w:hAnsi="XO Thames"/>
      <w:color w:val="000000"/>
      <w:spacing w:val="0"/>
      <w:sz w:val="20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ing 3"/>
    <w:link w:val="Style_17_ch"/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Heading 1"/>
    <w:link w:val="Style_18_ch"/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aption"/>
    <w:basedOn w:val="Style_2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2_ch"/>
    <w:link w:val="Style_19"/>
    <w:rPr>
      <w:i w:val="1"/>
      <w:sz w:val="24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0" w:type="paragraph">
    <w:name w:val="Body Text"/>
    <w:basedOn w:val="Style_2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2_ch"/>
    <w:link w:val="Style_20"/>
  </w:style>
  <w:style w:styleId="Style_21" w:type="paragraph">
    <w:name w:val="Contents 5"/>
    <w:link w:val="Style_21_ch"/>
    <w:rPr>
      <w:rFonts w:ascii="XO Thames" w:hAnsi="XO Thames"/>
      <w:sz w:val="28"/>
    </w:rPr>
  </w:style>
  <w:style w:styleId="Style_21_ch" w:type="character">
    <w:name w:val="Contents 5"/>
    <w:link w:val="Style_21"/>
    <w:rPr>
      <w:rFonts w:ascii="XO Thames" w:hAnsi="XO Thames"/>
      <w:sz w:val="28"/>
    </w:rPr>
  </w:style>
  <w:style w:styleId="Style_22" w:type="paragraph">
    <w:name w:val="Contents 1"/>
    <w:link w:val="Style_22_ch"/>
    <w:rPr>
      <w:rFonts w:ascii="XO Thames" w:hAnsi="XO Thames"/>
      <w:b w:val="1"/>
      <w:sz w:val="28"/>
    </w:rPr>
  </w:style>
  <w:style w:styleId="Style_22_ch" w:type="character">
    <w:name w:val="Contents 1"/>
    <w:link w:val="Style_22"/>
    <w:rPr>
      <w:rFonts w:ascii="XO Thames" w:hAnsi="XO Thames"/>
      <w:b w:val="1"/>
      <w:sz w:val="28"/>
    </w:rPr>
  </w:style>
  <w:style w:styleId="Style_23" w:type="paragraph">
    <w:name w:val="toc 3"/>
    <w:next w:val="Style_2"/>
    <w:link w:val="Style_23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List"/>
    <w:basedOn w:val="Style_20"/>
    <w:link w:val="Style_24_ch"/>
  </w:style>
  <w:style w:styleId="Style_24_ch" w:type="character">
    <w:name w:val="List"/>
    <w:basedOn w:val="Style_20_ch"/>
    <w:link w:val="Style_24"/>
  </w:style>
  <w:style w:styleId="Style_25" w:type="paragraph">
    <w:name w:val="Contents 6"/>
    <w:link w:val="Style_25_ch"/>
    <w:rPr>
      <w:rFonts w:ascii="XO Thames" w:hAnsi="XO Thames"/>
      <w:sz w:val="28"/>
    </w:rPr>
  </w:style>
  <w:style w:styleId="Style_25_ch" w:type="character">
    <w:name w:val="Contents 6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6_ch" w:type="character">
    <w:name w:val="Subtitle"/>
    <w:link w:val="Style_26"/>
    <w:rPr>
      <w:rFonts w:ascii="XO Thames" w:hAnsi="XO Thames"/>
      <w:i w:val="1"/>
      <w:color w:val="000000"/>
      <w:spacing w:val="0"/>
      <w:sz w:val="24"/>
    </w:rPr>
  </w:style>
  <w:style w:styleId="Style_27" w:type="paragraph">
    <w:name w:val="heading 5"/>
    <w:next w:val="Style_2"/>
    <w:link w:val="Style_2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Plain Text"/>
    <w:basedOn w:val="Style_2"/>
    <w:link w:val="Style_28_ch"/>
    <w:pPr>
      <w:spacing w:after="0" w:before="0" w:line="240" w:lineRule="auto"/>
      <w:ind/>
    </w:pPr>
    <w:rPr>
      <w:rFonts w:ascii="Calibri" w:hAnsi="Calibri"/>
    </w:rPr>
  </w:style>
  <w:style w:styleId="Style_28_ch" w:type="character">
    <w:name w:val="Plain Text"/>
    <w:basedOn w:val="Style_2_ch"/>
    <w:link w:val="Style_28"/>
    <w:rPr>
      <w:rFonts w:ascii="Calibri" w:hAnsi="Calibri"/>
    </w:rPr>
  </w:style>
  <w:style w:styleId="Style_29" w:type="paragraph">
    <w:name w:val="Balloon Text"/>
    <w:basedOn w:val="Style_2"/>
    <w:link w:val="Style_29_ch"/>
    <w:pPr>
      <w:spacing w:after="0" w:before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2_ch"/>
    <w:link w:val="Style_29"/>
    <w:rPr>
      <w:rFonts w:ascii="Segoe UI" w:hAnsi="Segoe UI"/>
      <w:sz w:val="18"/>
    </w:rPr>
  </w:style>
  <w:style w:styleId="Style_30" w:type="paragraph">
    <w:name w:val="Heading 2"/>
    <w:link w:val="Style_30_ch"/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Title"/>
    <w:next w:val="Style_2"/>
    <w:link w:val="Style_31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color w:val="000000"/>
      <w:spacing w:val="0"/>
      <w:sz w:val="40"/>
    </w:rPr>
  </w:style>
  <w:style w:styleId="Style_32" w:type="paragraph">
    <w:name w:val="heading 1"/>
    <w:next w:val="Style_2"/>
    <w:link w:val="Style_3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2_ch" w:type="character">
    <w:name w:val="heading 1"/>
    <w:link w:val="Style_32"/>
    <w:rPr>
      <w:rFonts w:ascii="XO Thames" w:hAnsi="XO Thames"/>
      <w:b w:val="1"/>
      <w:color w:val="000000"/>
      <w:spacing w:val="0"/>
      <w:sz w:val="32"/>
    </w:rPr>
  </w:style>
  <w:style w:styleId="Style_33" w:type="paragraph">
    <w:name w:val="Contents 8"/>
    <w:link w:val="Style_33_ch"/>
    <w:rPr>
      <w:rFonts w:ascii="XO Thames" w:hAnsi="XO Thames"/>
      <w:sz w:val="28"/>
    </w:rPr>
  </w:style>
  <w:style w:styleId="Style_33_ch" w:type="character">
    <w:name w:val="Contents 8"/>
    <w:link w:val="Style_33"/>
    <w:rPr>
      <w:rFonts w:ascii="XO Thames" w:hAnsi="XO Thames"/>
      <w:sz w:val="28"/>
    </w:rPr>
  </w:style>
  <w:style w:styleId="Style_34" w:type="paragraph">
    <w:name w:val="Contents 2"/>
    <w:link w:val="Style_34_ch"/>
    <w:rPr>
      <w:rFonts w:ascii="XO Thames" w:hAnsi="XO Thames"/>
      <w:sz w:val="28"/>
    </w:rPr>
  </w:style>
  <w:style w:styleId="Style_34_ch" w:type="character">
    <w:name w:val="Contents 2"/>
    <w:link w:val="Style_34"/>
    <w:rPr>
      <w:rFonts w:ascii="XO Thames" w:hAnsi="XO Thames"/>
      <w:sz w:val="28"/>
    </w:rPr>
  </w:style>
  <w:style w:styleId="Style_35" w:type="paragraph">
    <w:name w:val="Hyperlink"/>
    <w:basedOn w:val="Style_7"/>
    <w:link w:val="Style_35_ch"/>
    <w:rPr>
      <w:color w:themeColor="hyperlink" w:val="0563C1"/>
      <w:u w:val="single"/>
    </w:rPr>
  </w:style>
  <w:style w:styleId="Style_35_ch" w:type="character">
    <w:name w:val="Hyperlink"/>
    <w:basedOn w:val="Style_7_ch"/>
    <w:link w:val="Style_35"/>
    <w:rPr>
      <w:color w:themeColor="hyperlink" w:val="0563C1"/>
      <w:u w:val="single"/>
    </w:rPr>
  </w:style>
  <w:style w:styleId="Style_36" w:type="paragraph">
    <w:name w:val="Footnote"/>
    <w:link w:val="Style_3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toc 1"/>
    <w:next w:val="Style_2"/>
    <w:link w:val="Style_37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Указатель"/>
    <w:basedOn w:val="Style_2"/>
    <w:link w:val="Style_39_ch"/>
  </w:style>
  <w:style w:styleId="Style_39_ch" w:type="character">
    <w:name w:val="Указатель"/>
    <w:basedOn w:val="Style_2_ch"/>
    <w:link w:val="Style_39"/>
  </w:style>
  <w:style w:styleId="Style_40" w:type="paragraph">
    <w:name w:val="toc 9"/>
    <w:next w:val="Style_2"/>
    <w:link w:val="Style_4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Заголовок"/>
    <w:basedOn w:val="Style_2"/>
    <w:next w:val="Style_20"/>
    <w:link w:val="Style_41_ch"/>
    <w:pPr>
      <w:keepNext w:val="1"/>
      <w:spacing w:after="120" w:before="240"/>
      <w:ind/>
    </w:pPr>
    <w:rPr>
      <w:rFonts w:ascii="Open Sans" w:hAnsi="Open Sans"/>
      <w:sz w:val="28"/>
    </w:rPr>
  </w:style>
  <w:style w:styleId="Style_41_ch" w:type="character">
    <w:name w:val="Заголовок"/>
    <w:basedOn w:val="Style_2_ch"/>
    <w:link w:val="Style_41"/>
    <w:rPr>
      <w:rFonts w:ascii="Open Sans" w:hAnsi="Open Sans"/>
      <w:sz w:val="28"/>
    </w:rPr>
  </w:style>
  <w:style w:styleId="Style_42" w:type="paragraph">
    <w:name w:val="Contents 3"/>
    <w:link w:val="Style_42_ch"/>
    <w:rPr>
      <w:rFonts w:ascii="XO Thames" w:hAnsi="XO Thames"/>
      <w:sz w:val="28"/>
    </w:rPr>
  </w:style>
  <w:style w:styleId="Style_42_ch" w:type="character">
    <w:name w:val="Contents 3"/>
    <w:link w:val="Style_42"/>
    <w:rPr>
      <w:rFonts w:ascii="XO Thames" w:hAnsi="XO Thames"/>
      <w:sz w:val="28"/>
    </w:rPr>
  </w:style>
  <w:style w:styleId="Style_43" w:type="paragraph">
    <w:name w:val="toc 8"/>
    <w:next w:val="Style_2"/>
    <w:link w:val="Style_4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Footer"/>
    <w:basedOn w:val="Style_2"/>
    <w:link w:val="Style_4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4_ch" w:type="character">
    <w:name w:val="Footer"/>
    <w:basedOn w:val="Style_2_ch"/>
    <w:link w:val="Style_44"/>
    <w:rPr>
      <w:rFonts w:ascii="Times New Roman" w:hAnsi="Times New Roman"/>
      <w:sz w:val="28"/>
    </w:rPr>
  </w:style>
  <w:style w:styleId="Style_45" w:type="paragraph">
    <w:name w:val="Footer"/>
    <w:link w:val="Style_45_ch"/>
    <w:rPr>
      <w:rFonts w:ascii="Times New Roman" w:hAnsi="Times New Roman"/>
      <w:sz w:val="28"/>
    </w:rPr>
  </w:style>
  <w:style w:styleId="Style_45_ch" w:type="character">
    <w:name w:val="Footer"/>
    <w:link w:val="Style_45"/>
    <w:rPr>
      <w:rFonts w:ascii="Times New Roman" w:hAnsi="Times New Roman"/>
      <w:sz w:val="28"/>
    </w:rPr>
  </w:style>
  <w:style w:styleId="Style_46" w:type="paragraph">
    <w:name w:val="toc 5"/>
    <w:next w:val="Style_2"/>
    <w:link w:val="Style_46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er"/>
    <w:link w:val="Style_47_ch"/>
  </w:style>
  <w:style w:styleId="Style_47_ch" w:type="character">
    <w:name w:val="Header"/>
    <w:link w:val="Style_47"/>
  </w:style>
  <w:style w:styleId="Style_48" w:type="paragraph">
    <w:name w:val="Subtitle"/>
    <w:link w:val="Style_48_ch"/>
    <w:uiPriority w:val="11"/>
    <w:qFormat/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Heading 4"/>
    <w:link w:val="Style_49_ch"/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Title"/>
    <w:link w:val="Style_50_ch"/>
    <w:uiPriority w:val="10"/>
    <w:qFormat/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2"/>
    <w:link w:val="Style_5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pacing w:val="0"/>
      <w:sz w:val="24"/>
    </w:rPr>
  </w:style>
  <w:style w:styleId="Style_52" w:type="paragraph">
    <w:name w:val="heading 2"/>
    <w:next w:val="Style_2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  <w:style w:styleId="Style_53" w:type="paragraph">
    <w:name w:val="Heading 5"/>
    <w:link w:val="Style_53_ch"/>
    <w:rPr>
      <w:rFonts w:ascii="XO Thames" w:hAnsi="XO Thames"/>
      <w:b w:val="1"/>
      <w:sz w:val="22"/>
    </w:rPr>
  </w:style>
  <w:style w:styleId="Style_53_ch" w:type="character">
    <w:name w:val="Heading 5"/>
    <w:link w:val="Style_53"/>
    <w:rPr>
      <w:rFonts w:ascii="XO Thames" w:hAnsi="XO Thames"/>
      <w:b w:val="1"/>
      <w:sz w:val="22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2024-10-09T04:42:17Z</dcterms:modified>
</cp:coreProperties>
</file>