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4EA3" w:rsidRDefault="00134EA3" w:rsidP="00176517">
      <w:pPr>
        <w:autoSpaceDE w:val="0"/>
        <w:autoSpaceDN w:val="0"/>
        <w:adjustRightInd w:val="0"/>
        <w:jc w:val="center"/>
        <w:rPr>
          <w:sz w:val="28"/>
          <w:szCs w:val="28"/>
        </w:rPr>
      </w:pPr>
      <w:bookmarkStart w:id="0" w:name="_GoBack"/>
      <w:bookmarkEnd w:id="0"/>
      <w:r>
        <w:rPr>
          <w:noProof/>
          <w:sz w:val="28"/>
          <w:szCs w:val="28"/>
          <w:lang w:eastAsia="ru-RU"/>
        </w:rPr>
        <w:drawing>
          <wp:inline distT="0" distB="0" distL="0" distR="0">
            <wp:extent cx="5940425" cy="8400415"/>
            <wp:effectExtent l="0" t="0" r="3175" b="63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итульный лист.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425" cy="8400415"/>
                    </a:xfrm>
                    <a:prstGeom prst="rect">
                      <a:avLst/>
                    </a:prstGeom>
                  </pic:spPr>
                </pic:pic>
              </a:graphicData>
            </a:graphic>
          </wp:inline>
        </w:drawing>
      </w:r>
    </w:p>
    <w:p w:rsidR="00134EA3" w:rsidRDefault="00134EA3" w:rsidP="00176517">
      <w:pPr>
        <w:autoSpaceDE w:val="0"/>
        <w:autoSpaceDN w:val="0"/>
        <w:adjustRightInd w:val="0"/>
        <w:jc w:val="center"/>
        <w:rPr>
          <w:sz w:val="28"/>
          <w:szCs w:val="28"/>
        </w:rPr>
      </w:pPr>
    </w:p>
    <w:p w:rsidR="00134EA3" w:rsidRDefault="00134EA3" w:rsidP="00176517">
      <w:pPr>
        <w:autoSpaceDE w:val="0"/>
        <w:autoSpaceDN w:val="0"/>
        <w:adjustRightInd w:val="0"/>
        <w:jc w:val="center"/>
        <w:rPr>
          <w:sz w:val="28"/>
          <w:szCs w:val="28"/>
        </w:rPr>
      </w:pPr>
    </w:p>
    <w:p w:rsidR="00134EA3" w:rsidRDefault="00134EA3" w:rsidP="00176517">
      <w:pPr>
        <w:autoSpaceDE w:val="0"/>
        <w:autoSpaceDN w:val="0"/>
        <w:adjustRightInd w:val="0"/>
        <w:jc w:val="center"/>
        <w:rPr>
          <w:sz w:val="28"/>
          <w:szCs w:val="28"/>
        </w:rPr>
      </w:pPr>
    </w:p>
    <w:p w:rsidR="00134EA3" w:rsidRDefault="00134EA3" w:rsidP="00176517">
      <w:pPr>
        <w:autoSpaceDE w:val="0"/>
        <w:autoSpaceDN w:val="0"/>
        <w:adjustRightInd w:val="0"/>
        <w:jc w:val="center"/>
        <w:rPr>
          <w:sz w:val="28"/>
          <w:szCs w:val="28"/>
        </w:rPr>
      </w:pPr>
    </w:p>
    <w:p w:rsidR="00BD41EB" w:rsidRPr="00E96D5A" w:rsidRDefault="00BD41EB" w:rsidP="00176517">
      <w:pPr>
        <w:autoSpaceDE w:val="0"/>
        <w:autoSpaceDN w:val="0"/>
        <w:adjustRightInd w:val="0"/>
        <w:jc w:val="center"/>
        <w:rPr>
          <w:sz w:val="28"/>
          <w:szCs w:val="28"/>
        </w:rPr>
      </w:pPr>
      <w:r w:rsidRPr="00E96D5A">
        <w:rPr>
          <w:sz w:val="28"/>
          <w:szCs w:val="28"/>
        </w:rPr>
        <w:lastRenderedPageBreak/>
        <w:t>СОДЕРЖАНИЕ</w:t>
      </w:r>
    </w:p>
    <w:p w:rsidR="00BD41EB" w:rsidRPr="00E96D5A" w:rsidRDefault="00BD41EB" w:rsidP="00BD41EB">
      <w:pPr>
        <w:jc w:val="center"/>
        <w:rPr>
          <w:sz w:val="28"/>
          <w:szCs w:val="28"/>
        </w:rPr>
      </w:pPr>
    </w:p>
    <w:tbl>
      <w:tblPr>
        <w:tblW w:w="9322" w:type="dxa"/>
        <w:tblLook w:val="04A0" w:firstRow="1" w:lastRow="0" w:firstColumn="1" w:lastColumn="0" w:noHBand="0" w:noVBand="1"/>
      </w:tblPr>
      <w:tblGrid>
        <w:gridCol w:w="8613"/>
        <w:gridCol w:w="709"/>
      </w:tblGrid>
      <w:tr w:rsidR="00D511F2" w:rsidRPr="005812BD" w:rsidTr="001C59A0">
        <w:tc>
          <w:tcPr>
            <w:tcW w:w="8613" w:type="dxa"/>
          </w:tcPr>
          <w:p w:rsidR="00BD41EB" w:rsidRPr="00E96D5A" w:rsidRDefault="00BD41EB" w:rsidP="001C59A0">
            <w:pPr>
              <w:jc w:val="both"/>
              <w:rPr>
                <w:sz w:val="28"/>
                <w:szCs w:val="28"/>
              </w:rPr>
            </w:pPr>
            <w:r w:rsidRPr="00E96D5A">
              <w:rPr>
                <w:sz w:val="28"/>
                <w:szCs w:val="28"/>
              </w:rPr>
              <w:t>Введение………………………………………………………………….</w:t>
            </w:r>
          </w:p>
        </w:tc>
        <w:tc>
          <w:tcPr>
            <w:tcW w:w="709" w:type="dxa"/>
          </w:tcPr>
          <w:p w:rsidR="00BD41EB" w:rsidRPr="00443E77" w:rsidRDefault="001C59A0" w:rsidP="001926F1">
            <w:pPr>
              <w:jc w:val="center"/>
              <w:rPr>
                <w:sz w:val="28"/>
                <w:szCs w:val="28"/>
              </w:rPr>
            </w:pPr>
            <w:r w:rsidRPr="00443E77">
              <w:rPr>
                <w:sz w:val="28"/>
                <w:szCs w:val="28"/>
              </w:rPr>
              <w:t>3</w:t>
            </w:r>
          </w:p>
        </w:tc>
      </w:tr>
      <w:tr w:rsidR="00D511F2" w:rsidRPr="005812BD" w:rsidTr="001C59A0">
        <w:tc>
          <w:tcPr>
            <w:tcW w:w="8613" w:type="dxa"/>
          </w:tcPr>
          <w:p w:rsidR="00BD41EB" w:rsidRPr="00E96D5A" w:rsidRDefault="00BD41EB" w:rsidP="001926F1">
            <w:pPr>
              <w:jc w:val="both"/>
              <w:rPr>
                <w:sz w:val="28"/>
                <w:szCs w:val="28"/>
              </w:rPr>
            </w:pPr>
            <w:r w:rsidRPr="00E96D5A">
              <w:rPr>
                <w:sz w:val="28"/>
                <w:szCs w:val="28"/>
                <w:lang w:val="en-US"/>
              </w:rPr>
              <w:t>I</w:t>
            </w:r>
            <w:r w:rsidRPr="00E96D5A">
              <w:rPr>
                <w:sz w:val="28"/>
                <w:szCs w:val="28"/>
              </w:rPr>
              <w:t>. Результаты мониторинга эффективности деятельности органов местного самоуправления городских округов и муниципальных районов…………………………………………………………………….</w:t>
            </w:r>
          </w:p>
        </w:tc>
        <w:tc>
          <w:tcPr>
            <w:tcW w:w="709" w:type="dxa"/>
            <w:vAlign w:val="bottom"/>
          </w:tcPr>
          <w:p w:rsidR="00BD41EB" w:rsidRPr="00443E77" w:rsidRDefault="00E96D5A" w:rsidP="001926F1">
            <w:pPr>
              <w:jc w:val="center"/>
              <w:rPr>
                <w:sz w:val="28"/>
                <w:szCs w:val="28"/>
                <w:lang w:val="en-US"/>
              </w:rPr>
            </w:pPr>
            <w:r w:rsidRPr="00443E77">
              <w:rPr>
                <w:sz w:val="28"/>
                <w:szCs w:val="28"/>
                <w:lang w:val="en-US"/>
              </w:rPr>
              <w:t>5</w:t>
            </w:r>
          </w:p>
        </w:tc>
      </w:tr>
      <w:tr w:rsidR="00D511F2" w:rsidRPr="005812BD" w:rsidTr="001C59A0">
        <w:tc>
          <w:tcPr>
            <w:tcW w:w="8613" w:type="dxa"/>
          </w:tcPr>
          <w:p w:rsidR="00BD41EB" w:rsidRPr="00E96D5A" w:rsidRDefault="00BD41EB" w:rsidP="001C59A0">
            <w:pPr>
              <w:jc w:val="both"/>
              <w:rPr>
                <w:sz w:val="28"/>
                <w:szCs w:val="28"/>
              </w:rPr>
            </w:pPr>
            <w:r w:rsidRPr="00E96D5A">
              <w:rPr>
                <w:sz w:val="28"/>
                <w:szCs w:val="28"/>
              </w:rPr>
              <w:t>1. Экономическое развитие……………………………………………</w:t>
            </w:r>
            <w:r w:rsidR="00BF34FC" w:rsidRPr="00E96D5A">
              <w:rPr>
                <w:sz w:val="28"/>
                <w:szCs w:val="28"/>
              </w:rPr>
              <w:t>.</w:t>
            </w:r>
          </w:p>
        </w:tc>
        <w:tc>
          <w:tcPr>
            <w:tcW w:w="709" w:type="dxa"/>
            <w:vAlign w:val="bottom"/>
          </w:tcPr>
          <w:p w:rsidR="00BD41EB" w:rsidRPr="00443E77" w:rsidRDefault="00E96D5A" w:rsidP="001926F1">
            <w:pPr>
              <w:jc w:val="center"/>
              <w:rPr>
                <w:sz w:val="28"/>
                <w:szCs w:val="28"/>
                <w:lang w:val="en-US"/>
              </w:rPr>
            </w:pPr>
            <w:r w:rsidRPr="00443E77">
              <w:rPr>
                <w:sz w:val="28"/>
                <w:szCs w:val="28"/>
                <w:lang w:val="en-US"/>
              </w:rPr>
              <w:t>5</w:t>
            </w:r>
          </w:p>
        </w:tc>
      </w:tr>
      <w:tr w:rsidR="00D511F2" w:rsidRPr="005812BD" w:rsidTr="001C59A0">
        <w:tc>
          <w:tcPr>
            <w:tcW w:w="8613" w:type="dxa"/>
          </w:tcPr>
          <w:p w:rsidR="00BD41EB" w:rsidRPr="00E96D5A" w:rsidRDefault="00BD41EB" w:rsidP="001926F1">
            <w:pPr>
              <w:jc w:val="both"/>
              <w:rPr>
                <w:sz w:val="28"/>
                <w:szCs w:val="28"/>
              </w:rPr>
            </w:pPr>
            <w:r w:rsidRPr="00E96D5A">
              <w:rPr>
                <w:sz w:val="28"/>
                <w:szCs w:val="28"/>
              </w:rPr>
              <w:t>2. Дошкольное образование…………………………………………….</w:t>
            </w:r>
          </w:p>
        </w:tc>
        <w:tc>
          <w:tcPr>
            <w:tcW w:w="709" w:type="dxa"/>
            <w:vAlign w:val="bottom"/>
          </w:tcPr>
          <w:p w:rsidR="00BD41EB" w:rsidRPr="00443E77" w:rsidRDefault="001C59A0" w:rsidP="00B57BD3">
            <w:pPr>
              <w:jc w:val="center"/>
              <w:rPr>
                <w:sz w:val="28"/>
                <w:szCs w:val="28"/>
              </w:rPr>
            </w:pPr>
            <w:r w:rsidRPr="00443E77">
              <w:rPr>
                <w:sz w:val="28"/>
                <w:szCs w:val="28"/>
              </w:rPr>
              <w:t>1</w:t>
            </w:r>
            <w:r w:rsidR="00B57BD3" w:rsidRPr="00443E77">
              <w:rPr>
                <w:sz w:val="28"/>
                <w:szCs w:val="28"/>
              </w:rPr>
              <w:t>8</w:t>
            </w:r>
          </w:p>
        </w:tc>
      </w:tr>
      <w:tr w:rsidR="00D511F2" w:rsidRPr="005812BD" w:rsidTr="001C59A0">
        <w:tc>
          <w:tcPr>
            <w:tcW w:w="8613" w:type="dxa"/>
          </w:tcPr>
          <w:p w:rsidR="00BD41EB" w:rsidRPr="00E96D5A" w:rsidRDefault="00BD41EB" w:rsidP="001C59A0">
            <w:pPr>
              <w:jc w:val="both"/>
              <w:rPr>
                <w:sz w:val="28"/>
                <w:szCs w:val="28"/>
              </w:rPr>
            </w:pPr>
            <w:r w:rsidRPr="00E96D5A">
              <w:rPr>
                <w:sz w:val="28"/>
                <w:szCs w:val="28"/>
              </w:rPr>
              <w:t>3. Общее и дополнительное образование………………………………</w:t>
            </w:r>
          </w:p>
        </w:tc>
        <w:tc>
          <w:tcPr>
            <w:tcW w:w="709" w:type="dxa"/>
            <w:vAlign w:val="bottom"/>
          </w:tcPr>
          <w:p w:rsidR="00BD41EB" w:rsidRPr="00443E77" w:rsidRDefault="00B57BD3" w:rsidP="001926F1">
            <w:pPr>
              <w:jc w:val="center"/>
              <w:rPr>
                <w:sz w:val="28"/>
                <w:szCs w:val="28"/>
              </w:rPr>
            </w:pPr>
            <w:r w:rsidRPr="00443E77">
              <w:rPr>
                <w:sz w:val="28"/>
                <w:szCs w:val="28"/>
              </w:rPr>
              <w:t>21</w:t>
            </w:r>
          </w:p>
        </w:tc>
      </w:tr>
      <w:tr w:rsidR="00D511F2" w:rsidRPr="005812BD" w:rsidTr="001C59A0">
        <w:tc>
          <w:tcPr>
            <w:tcW w:w="8613" w:type="dxa"/>
          </w:tcPr>
          <w:p w:rsidR="00BD41EB" w:rsidRPr="00E96D5A" w:rsidRDefault="00BD41EB" w:rsidP="001926F1">
            <w:pPr>
              <w:jc w:val="both"/>
              <w:rPr>
                <w:sz w:val="28"/>
                <w:szCs w:val="28"/>
              </w:rPr>
            </w:pPr>
            <w:r w:rsidRPr="00E96D5A">
              <w:rPr>
                <w:sz w:val="28"/>
                <w:szCs w:val="28"/>
              </w:rPr>
              <w:t>4. Культура……………………………………………………………….</w:t>
            </w:r>
          </w:p>
        </w:tc>
        <w:tc>
          <w:tcPr>
            <w:tcW w:w="709" w:type="dxa"/>
            <w:vAlign w:val="bottom"/>
          </w:tcPr>
          <w:p w:rsidR="00BD41EB" w:rsidRPr="00443E77" w:rsidRDefault="001C59A0" w:rsidP="00E96D5A">
            <w:pPr>
              <w:jc w:val="center"/>
              <w:rPr>
                <w:sz w:val="28"/>
                <w:szCs w:val="28"/>
              </w:rPr>
            </w:pPr>
            <w:r w:rsidRPr="00443E77">
              <w:rPr>
                <w:sz w:val="28"/>
                <w:szCs w:val="28"/>
              </w:rPr>
              <w:t>2</w:t>
            </w:r>
            <w:r w:rsidR="00E96D5A" w:rsidRPr="00443E77">
              <w:rPr>
                <w:sz w:val="28"/>
                <w:szCs w:val="28"/>
                <w:lang w:val="en-US"/>
              </w:rPr>
              <w:t>5</w:t>
            </w:r>
          </w:p>
        </w:tc>
      </w:tr>
      <w:tr w:rsidR="00D511F2" w:rsidRPr="005812BD" w:rsidTr="001C59A0">
        <w:tc>
          <w:tcPr>
            <w:tcW w:w="8613" w:type="dxa"/>
          </w:tcPr>
          <w:p w:rsidR="005E3293" w:rsidRPr="00E96D5A" w:rsidRDefault="00BD41EB" w:rsidP="001C59A0">
            <w:pPr>
              <w:jc w:val="both"/>
              <w:rPr>
                <w:sz w:val="28"/>
                <w:szCs w:val="28"/>
              </w:rPr>
            </w:pPr>
            <w:r w:rsidRPr="00E96D5A">
              <w:rPr>
                <w:sz w:val="28"/>
                <w:szCs w:val="28"/>
              </w:rPr>
              <w:t>5. Физическая культура и спорт………………………………………</w:t>
            </w:r>
            <w:r w:rsidR="00BF34FC" w:rsidRPr="00E96D5A">
              <w:rPr>
                <w:sz w:val="28"/>
                <w:szCs w:val="28"/>
              </w:rPr>
              <w:t>.</w:t>
            </w:r>
            <w:r w:rsidRPr="00E96D5A">
              <w:rPr>
                <w:sz w:val="28"/>
                <w:szCs w:val="28"/>
              </w:rPr>
              <w:t>.</w:t>
            </w:r>
          </w:p>
        </w:tc>
        <w:tc>
          <w:tcPr>
            <w:tcW w:w="709" w:type="dxa"/>
            <w:vAlign w:val="bottom"/>
          </w:tcPr>
          <w:p w:rsidR="00BD41EB" w:rsidRPr="00443E77" w:rsidRDefault="001C59A0" w:rsidP="00E96D5A">
            <w:pPr>
              <w:jc w:val="center"/>
              <w:rPr>
                <w:sz w:val="28"/>
                <w:szCs w:val="28"/>
              </w:rPr>
            </w:pPr>
            <w:r w:rsidRPr="00443E77">
              <w:rPr>
                <w:sz w:val="28"/>
                <w:szCs w:val="28"/>
              </w:rPr>
              <w:t>2</w:t>
            </w:r>
            <w:r w:rsidR="00E96D5A" w:rsidRPr="00443E77">
              <w:rPr>
                <w:sz w:val="28"/>
                <w:szCs w:val="28"/>
                <w:lang w:val="en-US"/>
              </w:rPr>
              <w:t>8</w:t>
            </w:r>
          </w:p>
        </w:tc>
      </w:tr>
      <w:tr w:rsidR="00D511F2" w:rsidRPr="005812BD" w:rsidTr="001C59A0">
        <w:tc>
          <w:tcPr>
            <w:tcW w:w="8613" w:type="dxa"/>
          </w:tcPr>
          <w:p w:rsidR="001C59A0" w:rsidRPr="00E96D5A" w:rsidRDefault="001C59A0" w:rsidP="001C59A0">
            <w:pPr>
              <w:jc w:val="both"/>
              <w:rPr>
                <w:sz w:val="28"/>
                <w:szCs w:val="28"/>
              </w:rPr>
            </w:pPr>
            <w:r w:rsidRPr="00E96D5A">
              <w:rPr>
                <w:sz w:val="28"/>
                <w:szCs w:val="28"/>
              </w:rPr>
              <w:t>6. Жилищное строительство и обеспечение граждан жильем………</w:t>
            </w:r>
          </w:p>
        </w:tc>
        <w:tc>
          <w:tcPr>
            <w:tcW w:w="709" w:type="dxa"/>
            <w:vAlign w:val="bottom"/>
          </w:tcPr>
          <w:p w:rsidR="001C59A0" w:rsidRPr="00443E77" w:rsidRDefault="00E96D5A" w:rsidP="00443E77">
            <w:pPr>
              <w:jc w:val="center"/>
              <w:rPr>
                <w:sz w:val="28"/>
                <w:szCs w:val="28"/>
                <w:lang w:val="en-US"/>
              </w:rPr>
            </w:pPr>
            <w:r w:rsidRPr="00443E77">
              <w:rPr>
                <w:sz w:val="28"/>
                <w:szCs w:val="28"/>
                <w:lang w:val="en-US"/>
              </w:rPr>
              <w:t>3</w:t>
            </w:r>
            <w:r w:rsidR="00443E77" w:rsidRPr="00443E77">
              <w:rPr>
                <w:sz w:val="28"/>
                <w:szCs w:val="28"/>
              </w:rPr>
              <w:t>1</w:t>
            </w:r>
          </w:p>
        </w:tc>
      </w:tr>
      <w:tr w:rsidR="00D511F2" w:rsidRPr="005812BD" w:rsidTr="001C59A0">
        <w:tc>
          <w:tcPr>
            <w:tcW w:w="8613" w:type="dxa"/>
          </w:tcPr>
          <w:p w:rsidR="00BD41EB" w:rsidRPr="00E96D5A" w:rsidRDefault="005E3293" w:rsidP="001C59A0">
            <w:pPr>
              <w:jc w:val="both"/>
              <w:rPr>
                <w:sz w:val="28"/>
                <w:szCs w:val="28"/>
              </w:rPr>
            </w:pPr>
            <w:r w:rsidRPr="00E96D5A">
              <w:rPr>
                <w:sz w:val="28"/>
                <w:szCs w:val="28"/>
              </w:rPr>
              <w:t>7</w:t>
            </w:r>
            <w:r w:rsidR="00BD41EB" w:rsidRPr="00E96D5A">
              <w:rPr>
                <w:sz w:val="28"/>
                <w:szCs w:val="28"/>
              </w:rPr>
              <w:t>. Жилищно-коммунальное хозяйство…………………………………</w:t>
            </w:r>
          </w:p>
        </w:tc>
        <w:tc>
          <w:tcPr>
            <w:tcW w:w="709" w:type="dxa"/>
            <w:vAlign w:val="bottom"/>
          </w:tcPr>
          <w:p w:rsidR="00BD41EB" w:rsidRPr="00443E77" w:rsidRDefault="00E96D5A" w:rsidP="00B57BD3">
            <w:pPr>
              <w:jc w:val="center"/>
              <w:rPr>
                <w:sz w:val="28"/>
                <w:szCs w:val="28"/>
                <w:lang w:val="en-US"/>
              </w:rPr>
            </w:pPr>
            <w:r w:rsidRPr="00443E77">
              <w:rPr>
                <w:sz w:val="28"/>
                <w:szCs w:val="28"/>
                <w:lang w:val="en-US"/>
              </w:rPr>
              <w:t>33</w:t>
            </w:r>
          </w:p>
        </w:tc>
      </w:tr>
      <w:tr w:rsidR="00D511F2" w:rsidRPr="005812BD" w:rsidTr="001C59A0">
        <w:tc>
          <w:tcPr>
            <w:tcW w:w="8613" w:type="dxa"/>
          </w:tcPr>
          <w:p w:rsidR="00BD41EB" w:rsidRPr="00E96D5A" w:rsidRDefault="005E3293" w:rsidP="001C59A0">
            <w:pPr>
              <w:jc w:val="both"/>
              <w:rPr>
                <w:sz w:val="28"/>
                <w:szCs w:val="28"/>
              </w:rPr>
            </w:pPr>
            <w:r w:rsidRPr="00E96D5A">
              <w:rPr>
                <w:sz w:val="28"/>
                <w:szCs w:val="28"/>
              </w:rPr>
              <w:t>8</w:t>
            </w:r>
            <w:r w:rsidR="00BD41EB" w:rsidRPr="00E96D5A">
              <w:rPr>
                <w:sz w:val="28"/>
                <w:szCs w:val="28"/>
              </w:rPr>
              <w:t>. Организация муниципального управления………………………</w:t>
            </w:r>
            <w:r w:rsidR="00BF34FC" w:rsidRPr="00E96D5A">
              <w:rPr>
                <w:sz w:val="28"/>
                <w:szCs w:val="28"/>
              </w:rPr>
              <w:t>..</w:t>
            </w:r>
            <w:r w:rsidR="00BD41EB" w:rsidRPr="00E96D5A">
              <w:rPr>
                <w:sz w:val="28"/>
                <w:szCs w:val="28"/>
              </w:rPr>
              <w:t>.</w:t>
            </w:r>
          </w:p>
        </w:tc>
        <w:tc>
          <w:tcPr>
            <w:tcW w:w="709" w:type="dxa"/>
            <w:vAlign w:val="bottom"/>
          </w:tcPr>
          <w:p w:rsidR="00BD41EB" w:rsidRPr="00443E77" w:rsidRDefault="00E96D5A" w:rsidP="00443E77">
            <w:pPr>
              <w:jc w:val="center"/>
              <w:rPr>
                <w:sz w:val="28"/>
                <w:szCs w:val="28"/>
                <w:lang w:val="en-US"/>
              </w:rPr>
            </w:pPr>
            <w:r w:rsidRPr="00443E77">
              <w:rPr>
                <w:sz w:val="28"/>
                <w:szCs w:val="28"/>
                <w:lang w:val="en-US"/>
              </w:rPr>
              <w:t>3</w:t>
            </w:r>
            <w:r w:rsidR="00443E77" w:rsidRPr="00443E77">
              <w:rPr>
                <w:sz w:val="28"/>
                <w:szCs w:val="28"/>
              </w:rPr>
              <w:t>5</w:t>
            </w:r>
          </w:p>
        </w:tc>
      </w:tr>
      <w:tr w:rsidR="00D511F2" w:rsidRPr="005812BD" w:rsidTr="001C59A0">
        <w:tc>
          <w:tcPr>
            <w:tcW w:w="8613" w:type="dxa"/>
          </w:tcPr>
          <w:p w:rsidR="00BD41EB" w:rsidRPr="00E96D5A" w:rsidRDefault="005E3293" w:rsidP="001C59A0">
            <w:pPr>
              <w:jc w:val="both"/>
              <w:rPr>
                <w:sz w:val="28"/>
                <w:szCs w:val="28"/>
              </w:rPr>
            </w:pPr>
            <w:r w:rsidRPr="00E96D5A">
              <w:rPr>
                <w:sz w:val="28"/>
                <w:szCs w:val="28"/>
              </w:rPr>
              <w:t>9</w:t>
            </w:r>
            <w:r w:rsidR="00BD41EB" w:rsidRPr="00E96D5A">
              <w:rPr>
                <w:sz w:val="28"/>
                <w:szCs w:val="28"/>
              </w:rPr>
              <w:t>. Энергосбережение и повышение энергетической эффективности</w:t>
            </w:r>
            <w:r w:rsidR="00BF34FC" w:rsidRPr="00E96D5A">
              <w:rPr>
                <w:sz w:val="28"/>
                <w:szCs w:val="28"/>
              </w:rPr>
              <w:t>.</w:t>
            </w:r>
            <w:r w:rsidR="00BD41EB" w:rsidRPr="00E96D5A">
              <w:rPr>
                <w:sz w:val="28"/>
                <w:szCs w:val="28"/>
              </w:rPr>
              <w:t>.</w:t>
            </w:r>
          </w:p>
        </w:tc>
        <w:tc>
          <w:tcPr>
            <w:tcW w:w="709" w:type="dxa"/>
            <w:vAlign w:val="bottom"/>
          </w:tcPr>
          <w:p w:rsidR="00BD41EB" w:rsidRPr="00443E77" w:rsidRDefault="00E96D5A" w:rsidP="00443E77">
            <w:pPr>
              <w:jc w:val="center"/>
              <w:rPr>
                <w:sz w:val="28"/>
                <w:szCs w:val="28"/>
                <w:lang w:val="en-US"/>
              </w:rPr>
            </w:pPr>
            <w:r w:rsidRPr="00443E77">
              <w:rPr>
                <w:sz w:val="28"/>
                <w:szCs w:val="28"/>
                <w:lang w:val="en-US"/>
              </w:rPr>
              <w:t>3</w:t>
            </w:r>
            <w:r w:rsidR="00443E77" w:rsidRPr="00443E77">
              <w:rPr>
                <w:sz w:val="28"/>
                <w:szCs w:val="28"/>
              </w:rPr>
              <w:t>8</w:t>
            </w:r>
          </w:p>
        </w:tc>
      </w:tr>
      <w:tr w:rsidR="00D511F2" w:rsidRPr="005812BD" w:rsidTr="001C59A0">
        <w:tc>
          <w:tcPr>
            <w:tcW w:w="8613" w:type="dxa"/>
          </w:tcPr>
          <w:p w:rsidR="00BD41EB" w:rsidRPr="00E96D5A" w:rsidRDefault="00BD41EB" w:rsidP="001926F1">
            <w:pPr>
              <w:jc w:val="both"/>
              <w:rPr>
                <w:sz w:val="28"/>
                <w:szCs w:val="28"/>
              </w:rPr>
            </w:pPr>
            <w:r w:rsidRPr="00E96D5A">
              <w:rPr>
                <w:sz w:val="28"/>
                <w:szCs w:val="28"/>
                <w:lang w:val="en-US"/>
              </w:rPr>
              <w:t>II</w:t>
            </w:r>
            <w:r w:rsidRPr="00E96D5A">
              <w:rPr>
                <w:sz w:val="28"/>
                <w:szCs w:val="28"/>
              </w:rPr>
              <w:t>. Итоги социологических опросов населения………………………</w:t>
            </w:r>
            <w:r w:rsidR="00BF34FC" w:rsidRPr="00E96D5A">
              <w:rPr>
                <w:sz w:val="28"/>
                <w:szCs w:val="28"/>
              </w:rPr>
              <w:t>.</w:t>
            </w:r>
            <w:r w:rsidRPr="00E96D5A">
              <w:rPr>
                <w:sz w:val="28"/>
                <w:szCs w:val="28"/>
              </w:rPr>
              <w:t>.</w:t>
            </w:r>
          </w:p>
        </w:tc>
        <w:tc>
          <w:tcPr>
            <w:tcW w:w="709" w:type="dxa"/>
            <w:vAlign w:val="bottom"/>
          </w:tcPr>
          <w:p w:rsidR="00BD41EB" w:rsidRPr="00443E77" w:rsidRDefault="00E96D5A" w:rsidP="00443E77">
            <w:pPr>
              <w:jc w:val="center"/>
              <w:rPr>
                <w:sz w:val="28"/>
                <w:szCs w:val="28"/>
                <w:lang w:val="en-US"/>
              </w:rPr>
            </w:pPr>
            <w:r w:rsidRPr="00443E77">
              <w:rPr>
                <w:sz w:val="28"/>
                <w:szCs w:val="28"/>
                <w:lang w:val="en-US"/>
              </w:rPr>
              <w:t>4</w:t>
            </w:r>
            <w:r w:rsidR="00443E77" w:rsidRPr="00443E77">
              <w:rPr>
                <w:sz w:val="28"/>
                <w:szCs w:val="28"/>
              </w:rPr>
              <w:t>1</w:t>
            </w:r>
          </w:p>
        </w:tc>
      </w:tr>
      <w:tr w:rsidR="00D511F2" w:rsidRPr="005812BD" w:rsidTr="001C59A0">
        <w:tc>
          <w:tcPr>
            <w:tcW w:w="8613" w:type="dxa"/>
          </w:tcPr>
          <w:p w:rsidR="00BD41EB" w:rsidRPr="00E96D5A" w:rsidRDefault="00BD41EB" w:rsidP="001926F1">
            <w:pPr>
              <w:jc w:val="both"/>
              <w:rPr>
                <w:sz w:val="28"/>
                <w:szCs w:val="28"/>
              </w:rPr>
            </w:pPr>
            <w:r w:rsidRPr="00E96D5A">
              <w:rPr>
                <w:sz w:val="28"/>
                <w:szCs w:val="28"/>
                <w:lang w:val="en-US"/>
              </w:rPr>
              <w:t>III</w:t>
            </w:r>
            <w:r w:rsidRPr="00E96D5A">
              <w:rPr>
                <w:sz w:val="28"/>
                <w:szCs w:val="28"/>
              </w:rPr>
              <w:t>.Результаты оценки эффективности деятельности органов местного самоуправления городских округов и муниципальных районов……………………………………………………………………</w:t>
            </w:r>
          </w:p>
        </w:tc>
        <w:tc>
          <w:tcPr>
            <w:tcW w:w="709" w:type="dxa"/>
            <w:vAlign w:val="bottom"/>
          </w:tcPr>
          <w:p w:rsidR="00BD41EB" w:rsidRPr="00443E77" w:rsidRDefault="00B57BD3" w:rsidP="00E96D5A">
            <w:pPr>
              <w:jc w:val="center"/>
              <w:rPr>
                <w:sz w:val="28"/>
                <w:szCs w:val="28"/>
              </w:rPr>
            </w:pPr>
            <w:r w:rsidRPr="00443E77">
              <w:rPr>
                <w:sz w:val="28"/>
                <w:szCs w:val="28"/>
              </w:rPr>
              <w:t>4</w:t>
            </w:r>
            <w:r w:rsidR="00E96D5A" w:rsidRPr="00443E77">
              <w:rPr>
                <w:sz w:val="28"/>
                <w:szCs w:val="28"/>
                <w:lang w:val="en-US"/>
              </w:rPr>
              <w:t>2</w:t>
            </w:r>
          </w:p>
        </w:tc>
      </w:tr>
      <w:tr w:rsidR="00D511F2" w:rsidRPr="00E96D5A" w:rsidTr="001C59A0">
        <w:tc>
          <w:tcPr>
            <w:tcW w:w="8613" w:type="dxa"/>
          </w:tcPr>
          <w:p w:rsidR="00BD41EB" w:rsidRPr="00E96D5A" w:rsidRDefault="00BD41EB" w:rsidP="001926F1">
            <w:pPr>
              <w:ind w:firstLine="567"/>
              <w:jc w:val="both"/>
              <w:rPr>
                <w:sz w:val="28"/>
                <w:szCs w:val="28"/>
              </w:rPr>
            </w:pPr>
          </w:p>
        </w:tc>
        <w:tc>
          <w:tcPr>
            <w:tcW w:w="709" w:type="dxa"/>
            <w:vAlign w:val="bottom"/>
          </w:tcPr>
          <w:p w:rsidR="00BD41EB" w:rsidRPr="00443E77" w:rsidRDefault="00BD41EB" w:rsidP="001926F1">
            <w:pPr>
              <w:jc w:val="center"/>
              <w:rPr>
                <w:sz w:val="28"/>
                <w:szCs w:val="28"/>
              </w:rPr>
            </w:pPr>
          </w:p>
        </w:tc>
      </w:tr>
      <w:tr w:rsidR="00D511F2" w:rsidRPr="00E96D5A" w:rsidTr="001C59A0">
        <w:tc>
          <w:tcPr>
            <w:tcW w:w="8613" w:type="dxa"/>
          </w:tcPr>
          <w:p w:rsidR="00BD41EB" w:rsidRPr="00E96D5A" w:rsidRDefault="00BD41EB" w:rsidP="001926F1">
            <w:pPr>
              <w:jc w:val="both"/>
              <w:rPr>
                <w:sz w:val="28"/>
                <w:szCs w:val="28"/>
              </w:rPr>
            </w:pPr>
          </w:p>
        </w:tc>
        <w:tc>
          <w:tcPr>
            <w:tcW w:w="709" w:type="dxa"/>
            <w:vAlign w:val="bottom"/>
          </w:tcPr>
          <w:p w:rsidR="00BD41EB" w:rsidRPr="00E96D5A" w:rsidRDefault="00BD41EB" w:rsidP="001926F1">
            <w:pPr>
              <w:jc w:val="center"/>
              <w:rPr>
                <w:sz w:val="28"/>
                <w:szCs w:val="28"/>
              </w:rPr>
            </w:pPr>
          </w:p>
        </w:tc>
      </w:tr>
      <w:tr w:rsidR="00D511F2" w:rsidRPr="00E96D5A" w:rsidTr="001C59A0">
        <w:tc>
          <w:tcPr>
            <w:tcW w:w="8613" w:type="dxa"/>
          </w:tcPr>
          <w:p w:rsidR="00BD41EB" w:rsidRPr="00E96D5A" w:rsidRDefault="00BD41EB" w:rsidP="001926F1">
            <w:pPr>
              <w:ind w:firstLine="142"/>
              <w:jc w:val="both"/>
              <w:rPr>
                <w:sz w:val="28"/>
                <w:szCs w:val="28"/>
              </w:rPr>
            </w:pPr>
          </w:p>
        </w:tc>
        <w:tc>
          <w:tcPr>
            <w:tcW w:w="709" w:type="dxa"/>
            <w:vAlign w:val="bottom"/>
          </w:tcPr>
          <w:p w:rsidR="00BD41EB" w:rsidRPr="00E96D5A" w:rsidRDefault="00BD41EB" w:rsidP="001926F1">
            <w:pPr>
              <w:jc w:val="center"/>
              <w:rPr>
                <w:sz w:val="28"/>
                <w:szCs w:val="28"/>
              </w:rPr>
            </w:pPr>
          </w:p>
        </w:tc>
      </w:tr>
      <w:tr w:rsidR="00BD41EB" w:rsidRPr="00E96D5A" w:rsidTr="001C59A0">
        <w:tc>
          <w:tcPr>
            <w:tcW w:w="8613" w:type="dxa"/>
          </w:tcPr>
          <w:p w:rsidR="00BD41EB" w:rsidRPr="00E96D5A" w:rsidRDefault="00BD41EB" w:rsidP="001926F1">
            <w:pPr>
              <w:jc w:val="both"/>
              <w:rPr>
                <w:sz w:val="28"/>
                <w:szCs w:val="28"/>
              </w:rPr>
            </w:pPr>
          </w:p>
        </w:tc>
        <w:tc>
          <w:tcPr>
            <w:tcW w:w="709" w:type="dxa"/>
            <w:vAlign w:val="bottom"/>
          </w:tcPr>
          <w:p w:rsidR="00BD41EB" w:rsidRPr="00E96D5A" w:rsidRDefault="00BD41EB" w:rsidP="001926F1">
            <w:pPr>
              <w:jc w:val="center"/>
              <w:rPr>
                <w:sz w:val="28"/>
                <w:szCs w:val="28"/>
              </w:rPr>
            </w:pPr>
          </w:p>
        </w:tc>
      </w:tr>
      <w:tr w:rsidR="00BD41EB" w:rsidRPr="00E96D5A" w:rsidTr="001C59A0">
        <w:tc>
          <w:tcPr>
            <w:tcW w:w="8613" w:type="dxa"/>
          </w:tcPr>
          <w:p w:rsidR="00BD41EB" w:rsidRPr="00E96D5A" w:rsidRDefault="00BD41EB" w:rsidP="001926F1">
            <w:pPr>
              <w:ind w:firstLine="567"/>
              <w:jc w:val="both"/>
              <w:rPr>
                <w:sz w:val="28"/>
                <w:szCs w:val="28"/>
              </w:rPr>
            </w:pPr>
          </w:p>
        </w:tc>
        <w:tc>
          <w:tcPr>
            <w:tcW w:w="709" w:type="dxa"/>
            <w:vAlign w:val="bottom"/>
          </w:tcPr>
          <w:p w:rsidR="00BD41EB" w:rsidRPr="00E96D5A" w:rsidRDefault="00BD41EB" w:rsidP="001926F1">
            <w:pPr>
              <w:jc w:val="center"/>
              <w:rPr>
                <w:sz w:val="28"/>
                <w:szCs w:val="28"/>
              </w:rPr>
            </w:pPr>
          </w:p>
        </w:tc>
      </w:tr>
      <w:tr w:rsidR="00BD41EB" w:rsidRPr="00B204B8" w:rsidTr="001C59A0">
        <w:tc>
          <w:tcPr>
            <w:tcW w:w="8613" w:type="dxa"/>
          </w:tcPr>
          <w:p w:rsidR="00BD41EB" w:rsidRPr="00B204B8" w:rsidRDefault="00BD41EB" w:rsidP="001926F1">
            <w:pPr>
              <w:ind w:firstLine="142"/>
              <w:jc w:val="both"/>
              <w:rPr>
                <w:sz w:val="28"/>
                <w:szCs w:val="28"/>
              </w:rPr>
            </w:pPr>
          </w:p>
        </w:tc>
        <w:tc>
          <w:tcPr>
            <w:tcW w:w="709" w:type="dxa"/>
            <w:vAlign w:val="bottom"/>
          </w:tcPr>
          <w:p w:rsidR="00BD41EB" w:rsidRPr="00B204B8" w:rsidRDefault="00BD41EB" w:rsidP="001926F1">
            <w:pPr>
              <w:jc w:val="center"/>
              <w:rPr>
                <w:sz w:val="28"/>
                <w:szCs w:val="28"/>
              </w:rPr>
            </w:pPr>
          </w:p>
        </w:tc>
      </w:tr>
      <w:tr w:rsidR="00BD41EB" w:rsidRPr="00B204B8" w:rsidTr="001C59A0">
        <w:tc>
          <w:tcPr>
            <w:tcW w:w="8613" w:type="dxa"/>
          </w:tcPr>
          <w:p w:rsidR="00BD41EB" w:rsidRPr="00B204B8" w:rsidRDefault="00BD41EB" w:rsidP="001926F1">
            <w:pPr>
              <w:jc w:val="both"/>
              <w:rPr>
                <w:sz w:val="28"/>
                <w:szCs w:val="28"/>
              </w:rPr>
            </w:pPr>
          </w:p>
        </w:tc>
        <w:tc>
          <w:tcPr>
            <w:tcW w:w="709" w:type="dxa"/>
            <w:vAlign w:val="bottom"/>
          </w:tcPr>
          <w:p w:rsidR="00BD41EB" w:rsidRPr="00B204B8" w:rsidRDefault="00BD41EB" w:rsidP="001926F1">
            <w:pPr>
              <w:jc w:val="center"/>
              <w:rPr>
                <w:sz w:val="28"/>
                <w:szCs w:val="28"/>
              </w:rPr>
            </w:pPr>
          </w:p>
        </w:tc>
      </w:tr>
      <w:tr w:rsidR="00BD41EB" w:rsidRPr="00B204B8" w:rsidTr="001C59A0">
        <w:tc>
          <w:tcPr>
            <w:tcW w:w="8613" w:type="dxa"/>
          </w:tcPr>
          <w:p w:rsidR="00BD41EB" w:rsidRPr="00B204B8" w:rsidRDefault="00BD41EB" w:rsidP="001926F1">
            <w:pPr>
              <w:jc w:val="both"/>
              <w:rPr>
                <w:sz w:val="28"/>
                <w:szCs w:val="28"/>
              </w:rPr>
            </w:pPr>
          </w:p>
        </w:tc>
        <w:tc>
          <w:tcPr>
            <w:tcW w:w="709" w:type="dxa"/>
            <w:vAlign w:val="bottom"/>
          </w:tcPr>
          <w:p w:rsidR="00BD41EB" w:rsidRPr="00B204B8" w:rsidRDefault="00BD41EB" w:rsidP="001926F1">
            <w:pPr>
              <w:jc w:val="center"/>
              <w:rPr>
                <w:sz w:val="28"/>
                <w:szCs w:val="28"/>
              </w:rPr>
            </w:pPr>
          </w:p>
        </w:tc>
      </w:tr>
      <w:tr w:rsidR="00BD41EB" w:rsidRPr="00B204B8" w:rsidTr="001C59A0">
        <w:tc>
          <w:tcPr>
            <w:tcW w:w="8613" w:type="dxa"/>
          </w:tcPr>
          <w:p w:rsidR="00BD41EB" w:rsidRPr="00B204B8" w:rsidRDefault="00BD41EB" w:rsidP="003A76FE">
            <w:pPr>
              <w:jc w:val="both"/>
              <w:rPr>
                <w:strike/>
                <w:sz w:val="28"/>
                <w:szCs w:val="28"/>
              </w:rPr>
            </w:pPr>
          </w:p>
        </w:tc>
        <w:tc>
          <w:tcPr>
            <w:tcW w:w="709" w:type="dxa"/>
            <w:vAlign w:val="bottom"/>
          </w:tcPr>
          <w:p w:rsidR="00BD41EB" w:rsidRPr="00B204B8" w:rsidRDefault="00BD41EB" w:rsidP="001926F1">
            <w:pPr>
              <w:jc w:val="center"/>
              <w:rPr>
                <w:strike/>
                <w:sz w:val="28"/>
                <w:szCs w:val="28"/>
              </w:rPr>
            </w:pPr>
          </w:p>
        </w:tc>
      </w:tr>
    </w:tbl>
    <w:p w:rsidR="00BD41EB" w:rsidRPr="00B204B8" w:rsidRDefault="00BD41EB" w:rsidP="00BD41EB">
      <w:pPr>
        <w:jc w:val="center"/>
        <w:rPr>
          <w:strike/>
          <w:sz w:val="28"/>
          <w:szCs w:val="28"/>
        </w:rPr>
      </w:pPr>
    </w:p>
    <w:p w:rsidR="00BD41EB" w:rsidRPr="00B204B8" w:rsidRDefault="00BD41EB" w:rsidP="00BD41EB">
      <w:pPr>
        <w:jc w:val="center"/>
        <w:rPr>
          <w:b/>
          <w:sz w:val="28"/>
          <w:szCs w:val="28"/>
        </w:rPr>
      </w:pPr>
      <w:r w:rsidRPr="00B204B8">
        <w:rPr>
          <w:sz w:val="28"/>
          <w:szCs w:val="28"/>
        </w:rPr>
        <w:br w:type="page"/>
      </w:r>
      <w:r w:rsidRPr="00B204B8">
        <w:rPr>
          <w:b/>
          <w:sz w:val="28"/>
          <w:szCs w:val="28"/>
        </w:rPr>
        <w:lastRenderedPageBreak/>
        <w:t>Введение</w:t>
      </w:r>
    </w:p>
    <w:p w:rsidR="00BD41EB" w:rsidRPr="00B204B8" w:rsidRDefault="00BD41EB" w:rsidP="00DE523A">
      <w:pPr>
        <w:ind w:firstLine="709"/>
        <w:jc w:val="both"/>
        <w:rPr>
          <w:sz w:val="28"/>
          <w:szCs w:val="28"/>
        </w:rPr>
      </w:pPr>
    </w:p>
    <w:p w:rsidR="00F5335C" w:rsidRPr="00B204B8" w:rsidRDefault="00A21CAE" w:rsidP="00C81B99">
      <w:pPr>
        <w:ind w:firstLine="709"/>
        <w:jc w:val="both"/>
        <w:rPr>
          <w:sz w:val="28"/>
          <w:szCs w:val="28"/>
        </w:rPr>
      </w:pPr>
      <w:r w:rsidRPr="00B204B8">
        <w:rPr>
          <w:sz w:val="28"/>
          <w:szCs w:val="28"/>
        </w:rPr>
        <w:t>Сводный доклад Камчатского края о результатах мониторинга эффективности деятельности органов местного самоуправления городских округов и муниципальных районов в Камчат</w:t>
      </w:r>
      <w:r w:rsidR="006E7A33" w:rsidRPr="00B204B8">
        <w:rPr>
          <w:sz w:val="28"/>
          <w:szCs w:val="28"/>
        </w:rPr>
        <w:t>ском крае по итогам 2014</w:t>
      </w:r>
      <w:r w:rsidRPr="00B204B8">
        <w:rPr>
          <w:sz w:val="28"/>
          <w:szCs w:val="28"/>
        </w:rPr>
        <w:t xml:space="preserve"> года сформирован Министерством экономического развития</w:t>
      </w:r>
      <w:r w:rsidR="00DE523A" w:rsidRPr="00B204B8">
        <w:rPr>
          <w:sz w:val="28"/>
          <w:szCs w:val="28"/>
        </w:rPr>
        <w:t>, предпринимательства</w:t>
      </w:r>
      <w:r w:rsidRPr="00B204B8">
        <w:rPr>
          <w:sz w:val="28"/>
          <w:szCs w:val="28"/>
        </w:rPr>
        <w:t xml:space="preserve"> и торговли Камчатского края во исполнение</w:t>
      </w:r>
      <w:r w:rsidR="00BD41EB" w:rsidRPr="00B204B8">
        <w:rPr>
          <w:sz w:val="28"/>
          <w:szCs w:val="28"/>
        </w:rPr>
        <w:t xml:space="preserve"> Указа Президента</w:t>
      </w:r>
      <w:r w:rsidR="00DE523A" w:rsidRPr="00B204B8">
        <w:rPr>
          <w:sz w:val="28"/>
          <w:szCs w:val="28"/>
        </w:rPr>
        <w:t xml:space="preserve"> </w:t>
      </w:r>
      <w:r w:rsidR="00BD41EB" w:rsidRPr="00B204B8">
        <w:rPr>
          <w:sz w:val="28"/>
          <w:szCs w:val="28"/>
        </w:rPr>
        <w:t>Российской</w:t>
      </w:r>
      <w:r w:rsidR="00DE523A" w:rsidRPr="00B204B8">
        <w:rPr>
          <w:sz w:val="28"/>
          <w:szCs w:val="28"/>
        </w:rPr>
        <w:t xml:space="preserve"> </w:t>
      </w:r>
      <w:r w:rsidR="00BD41EB" w:rsidRPr="00B204B8">
        <w:rPr>
          <w:sz w:val="28"/>
          <w:szCs w:val="28"/>
        </w:rPr>
        <w:t>Федерации</w:t>
      </w:r>
      <w:r w:rsidR="00DE523A" w:rsidRPr="00B204B8">
        <w:rPr>
          <w:sz w:val="28"/>
          <w:szCs w:val="28"/>
        </w:rPr>
        <w:t xml:space="preserve"> </w:t>
      </w:r>
      <w:r w:rsidR="00BD41EB" w:rsidRPr="00B204B8">
        <w:rPr>
          <w:sz w:val="28"/>
          <w:szCs w:val="28"/>
        </w:rPr>
        <w:t xml:space="preserve"> от 28</w:t>
      </w:r>
      <w:r w:rsidR="00C81B99">
        <w:rPr>
          <w:sz w:val="28"/>
          <w:szCs w:val="28"/>
        </w:rPr>
        <w:t>.04.</w:t>
      </w:r>
      <w:r w:rsidR="00DE523A" w:rsidRPr="00B204B8">
        <w:rPr>
          <w:sz w:val="28"/>
          <w:szCs w:val="28"/>
        </w:rPr>
        <w:t>2008</w:t>
      </w:r>
      <w:r w:rsidR="00C81B99">
        <w:rPr>
          <w:sz w:val="28"/>
          <w:szCs w:val="28"/>
        </w:rPr>
        <w:t xml:space="preserve"> </w:t>
      </w:r>
      <w:r w:rsidR="00DE523A" w:rsidRPr="00B204B8">
        <w:rPr>
          <w:sz w:val="28"/>
          <w:szCs w:val="28"/>
        </w:rPr>
        <w:t>№ 607 «Об оценке</w:t>
      </w:r>
      <w:r w:rsidR="00C81B99">
        <w:rPr>
          <w:sz w:val="28"/>
          <w:szCs w:val="28"/>
        </w:rPr>
        <w:t xml:space="preserve"> </w:t>
      </w:r>
      <w:r w:rsidR="00BD41EB" w:rsidRPr="00B204B8">
        <w:rPr>
          <w:sz w:val="28"/>
          <w:szCs w:val="28"/>
        </w:rPr>
        <w:t>эффективности деятельности органов местного самоуправления городских округов и муниципальных районов», постановления Правительства Российской</w:t>
      </w:r>
      <w:r w:rsidR="00DE523A" w:rsidRPr="00B204B8">
        <w:rPr>
          <w:sz w:val="28"/>
          <w:szCs w:val="28"/>
        </w:rPr>
        <w:t xml:space="preserve"> </w:t>
      </w:r>
      <w:r w:rsidR="00BD41EB" w:rsidRPr="00B204B8">
        <w:rPr>
          <w:sz w:val="28"/>
          <w:szCs w:val="28"/>
        </w:rPr>
        <w:t>Федерации от 17</w:t>
      </w:r>
      <w:r w:rsidR="00C81B99">
        <w:rPr>
          <w:sz w:val="28"/>
          <w:szCs w:val="28"/>
        </w:rPr>
        <w:t>.12.</w:t>
      </w:r>
      <w:r w:rsidR="00BD41EB" w:rsidRPr="00B204B8">
        <w:rPr>
          <w:sz w:val="28"/>
          <w:szCs w:val="28"/>
        </w:rPr>
        <w:t>2012</w:t>
      </w:r>
      <w:r w:rsidR="00C81B99">
        <w:rPr>
          <w:sz w:val="28"/>
          <w:szCs w:val="28"/>
        </w:rPr>
        <w:t xml:space="preserve"> </w:t>
      </w:r>
      <w:r w:rsidR="00BD41EB" w:rsidRPr="00B204B8">
        <w:rPr>
          <w:sz w:val="28"/>
          <w:szCs w:val="28"/>
        </w:rPr>
        <w:t>№ 1317</w:t>
      </w:r>
      <w:r w:rsidRPr="00B204B8">
        <w:rPr>
          <w:sz w:val="28"/>
          <w:szCs w:val="28"/>
        </w:rPr>
        <w:t xml:space="preserve"> «</w:t>
      </w:r>
      <w:r w:rsidRPr="00B204B8">
        <w:rPr>
          <w:rFonts w:eastAsiaTheme="minorHAnsi"/>
          <w:sz w:val="28"/>
          <w:szCs w:val="28"/>
          <w:lang w:eastAsia="en-US"/>
        </w:rPr>
        <w:t xml:space="preserve">О мерах </w:t>
      </w:r>
      <w:r w:rsidR="00D23353" w:rsidRPr="00B204B8">
        <w:rPr>
          <w:rFonts w:eastAsiaTheme="minorHAnsi"/>
          <w:sz w:val="28"/>
          <w:szCs w:val="28"/>
          <w:lang w:eastAsia="en-US"/>
        </w:rPr>
        <w:t>по реализации У</w:t>
      </w:r>
      <w:r w:rsidR="004426F2" w:rsidRPr="00B204B8">
        <w:rPr>
          <w:rFonts w:eastAsiaTheme="minorHAnsi"/>
          <w:sz w:val="28"/>
          <w:szCs w:val="28"/>
          <w:lang w:eastAsia="en-US"/>
        </w:rPr>
        <w:t>каза Президента Р</w:t>
      </w:r>
      <w:r w:rsidRPr="00B204B8">
        <w:rPr>
          <w:rFonts w:eastAsiaTheme="minorHAnsi"/>
          <w:sz w:val="28"/>
          <w:szCs w:val="28"/>
          <w:lang w:eastAsia="en-US"/>
        </w:rPr>
        <w:t xml:space="preserve">оссийской </w:t>
      </w:r>
      <w:r w:rsidR="004426F2" w:rsidRPr="00B204B8">
        <w:rPr>
          <w:rFonts w:eastAsiaTheme="minorHAnsi"/>
          <w:sz w:val="28"/>
          <w:szCs w:val="28"/>
          <w:lang w:eastAsia="en-US"/>
        </w:rPr>
        <w:t>Ф</w:t>
      </w:r>
      <w:r w:rsidRPr="00B204B8">
        <w:rPr>
          <w:rFonts w:eastAsiaTheme="minorHAnsi"/>
          <w:sz w:val="28"/>
          <w:szCs w:val="28"/>
          <w:lang w:eastAsia="en-US"/>
        </w:rPr>
        <w:t>едерации от 28</w:t>
      </w:r>
      <w:r w:rsidR="00C81B99">
        <w:rPr>
          <w:rFonts w:eastAsiaTheme="minorHAnsi"/>
          <w:sz w:val="28"/>
          <w:szCs w:val="28"/>
          <w:lang w:eastAsia="en-US"/>
        </w:rPr>
        <w:t xml:space="preserve">.04.2008 </w:t>
      </w:r>
      <w:hyperlink r:id="rId10" w:history="1">
        <w:r w:rsidR="00F5335C" w:rsidRPr="00B204B8">
          <w:rPr>
            <w:rFonts w:eastAsiaTheme="minorHAnsi"/>
            <w:sz w:val="28"/>
            <w:szCs w:val="28"/>
            <w:lang w:eastAsia="en-US"/>
          </w:rPr>
          <w:t>№</w:t>
        </w:r>
        <w:r w:rsidRPr="00B204B8">
          <w:rPr>
            <w:rFonts w:eastAsiaTheme="minorHAnsi"/>
            <w:sz w:val="28"/>
            <w:szCs w:val="28"/>
            <w:lang w:eastAsia="en-US"/>
          </w:rPr>
          <w:t xml:space="preserve"> 607</w:t>
        </w:r>
      </w:hyperlink>
      <w:r w:rsidRPr="00B204B8">
        <w:rPr>
          <w:rFonts w:eastAsiaTheme="minorHAnsi"/>
          <w:sz w:val="28"/>
          <w:szCs w:val="28"/>
          <w:lang w:eastAsia="en-US"/>
        </w:rPr>
        <w:t xml:space="preserve"> </w:t>
      </w:r>
      <w:r w:rsidR="006E7A33" w:rsidRPr="00B204B8">
        <w:rPr>
          <w:rFonts w:eastAsiaTheme="minorHAnsi"/>
          <w:sz w:val="28"/>
          <w:szCs w:val="28"/>
          <w:lang w:eastAsia="en-US"/>
        </w:rPr>
        <w:t>«</w:t>
      </w:r>
      <w:r w:rsidR="00F5335C" w:rsidRPr="00B204B8">
        <w:rPr>
          <w:rFonts w:eastAsiaTheme="minorHAnsi"/>
          <w:sz w:val="28"/>
          <w:szCs w:val="28"/>
          <w:lang w:eastAsia="en-US"/>
        </w:rPr>
        <w:t>О</w:t>
      </w:r>
      <w:r w:rsidRPr="00B204B8">
        <w:rPr>
          <w:rFonts w:eastAsiaTheme="minorHAnsi"/>
          <w:sz w:val="28"/>
          <w:szCs w:val="28"/>
          <w:lang w:eastAsia="en-US"/>
        </w:rPr>
        <w:t>б оценке эффективности деятельности органов местного самоуправления городских округов и муниципальных районов</w:t>
      </w:r>
      <w:r w:rsidR="006E7A33" w:rsidRPr="00B204B8">
        <w:rPr>
          <w:rFonts w:eastAsiaTheme="minorHAnsi"/>
          <w:sz w:val="28"/>
          <w:szCs w:val="28"/>
          <w:lang w:eastAsia="en-US"/>
        </w:rPr>
        <w:t>» и подпункта «</w:t>
      </w:r>
      <w:r w:rsidRPr="00B204B8">
        <w:rPr>
          <w:rFonts w:eastAsiaTheme="minorHAnsi"/>
          <w:sz w:val="28"/>
          <w:szCs w:val="28"/>
          <w:lang w:eastAsia="en-US"/>
        </w:rPr>
        <w:t>и</w:t>
      </w:r>
      <w:r w:rsidR="006E7A33" w:rsidRPr="00B204B8">
        <w:rPr>
          <w:rFonts w:eastAsiaTheme="minorHAnsi"/>
          <w:sz w:val="28"/>
          <w:szCs w:val="28"/>
          <w:lang w:eastAsia="en-US"/>
        </w:rPr>
        <w:t>»</w:t>
      </w:r>
      <w:r w:rsidRPr="00B204B8">
        <w:rPr>
          <w:rFonts w:eastAsiaTheme="minorHAnsi"/>
          <w:sz w:val="28"/>
          <w:szCs w:val="28"/>
          <w:lang w:eastAsia="en-US"/>
        </w:rPr>
        <w:t xml:space="preserve"> пункта 2 </w:t>
      </w:r>
      <w:r w:rsidR="004426F2" w:rsidRPr="00B204B8">
        <w:rPr>
          <w:rFonts w:eastAsiaTheme="minorHAnsi"/>
          <w:sz w:val="28"/>
          <w:szCs w:val="28"/>
          <w:lang w:eastAsia="en-US"/>
        </w:rPr>
        <w:t>Указа П</w:t>
      </w:r>
      <w:r w:rsidRPr="00B204B8">
        <w:rPr>
          <w:rFonts w:eastAsiaTheme="minorHAnsi"/>
          <w:sz w:val="28"/>
          <w:szCs w:val="28"/>
          <w:lang w:eastAsia="en-US"/>
        </w:rPr>
        <w:t xml:space="preserve">резидента </w:t>
      </w:r>
      <w:r w:rsidR="004426F2" w:rsidRPr="00B204B8">
        <w:rPr>
          <w:rFonts w:eastAsiaTheme="minorHAnsi"/>
          <w:sz w:val="28"/>
          <w:szCs w:val="28"/>
          <w:lang w:eastAsia="en-US"/>
        </w:rPr>
        <w:t>Р</w:t>
      </w:r>
      <w:r w:rsidRPr="00B204B8">
        <w:rPr>
          <w:rFonts w:eastAsiaTheme="minorHAnsi"/>
          <w:sz w:val="28"/>
          <w:szCs w:val="28"/>
          <w:lang w:eastAsia="en-US"/>
        </w:rPr>
        <w:t xml:space="preserve">оссийской </w:t>
      </w:r>
      <w:r w:rsidR="004426F2" w:rsidRPr="00B204B8">
        <w:rPr>
          <w:rFonts w:eastAsiaTheme="minorHAnsi"/>
          <w:sz w:val="28"/>
          <w:szCs w:val="28"/>
          <w:lang w:eastAsia="en-US"/>
        </w:rPr>
        <w:t>Ф</w:t>
      </w:r>
      <w:r w:rsidRPr="00B204B8">
        <w:rPr>
          <w:rFonts w:eastAsiaTheme="minorHAnsi"/>
          <w:sz w:val="28"/>
          <w:szCs w:val="28"/>
          <w:lang w:eastAsia="en-US"/>
        </w:rPr>
        <w:t xml:space="preserve">едерации от </w:t>
      </w:r>
      <w:r w:rsidR="00C81B99">
        <w:rPr>
          <w:rFonts w:eastAsiaTheme="minorHAnsi"/>
          <w:sz w:val="28"/>
          <w:szCs w:val="28"/>
          <w:lang w:eastAsia="en-US"/>
        </w:rPr>
        <w:t>0</w:t>
      </w:r>
      <w:r w:rsidRPr="00B204B8">
        <w:rPr>
          <w:rFonts w:eastAsiaTheme="minorHAnsi"/>
          <w:sz w:val="28"/>
          <w:szCs w:val="28"/>
          <w:lang w:eastAsia="en-US"/>
        </w:rPr>
        <w:t>7</w:t>
      </w:r>
      <w:r w:rsidR="00C81B99">
        <w:rPr>
          <w:rFonts w:eastAsiaTheme="minorHAnsi"/>
          <w:sz w:val="28"/>
          <w:szCs w:val="28"/>
          <w:lang w:eastAsia="en-US"/>
        </w:rPr>
        <w:t>.05.</w:t>
      </w:r>
      <w:r w:rsidRPr="00B204B8">
        <w:rPr>
          <w:rFonts w:eastAsiaTheme="minorHAnsi"/>
          <w:sz w:val="28"/>
          <w:szCs w:val="28"/>
          <w:lang w:eastAsia="en-US"/>
        </w:rPr>
        <w:t>2012</w:t>
      </w:r>
      <w:r w:rsidR="00C81B99">
        <w:rPr>
          <w:rFonts w:eastAsiaTheme="minorHAnsi"/>
          <w:sz w:val="28"/>
          <w:szCs w:val="28"/>
          <w:lang w:eastAsia="en-US"/>
        </w:rPr>
        <w:t xml:space="preserve"> </w:t>
      </w:r>
      <w:hyperlink r:id="rId11" w:history="1">
        <w:r w:rsidR="00F5335C" w:rsidRPr="00B204B8">
          <w:rPr>
            <w:rFonts w:eastAsiaTheme="minorHAnsi"/>
            <w:sz w:val="28"/>
            <w:szCs w:val="28"/>
            <w:lang w:eastAsia="en-US"/>
          </w:rPr>
          <w:t>№</w:t>
        </w:r>
        <w:r w:rsidRPr="00B204B8">
          <w:rPr>
            <w:rFonts w:eastAsiaTheme="minorHAnsi"/>
            <w:sz w:val="28"/>
            <w:szCs w:val="28"/>
            <w:lang w:eastAsia="en-US"/>
          </w:rPr>
          <w:t xml:space="preserve"> 601</w:t>
        </w:r>
      </w:hyperlink>
      <w:r w:rsidRPr="00B204B8">
        <w:rPr>
          <w:rFonts w:eastAsiaTheme="minorHAnsi"/>
          <w:sz w:val="28"/>
          <w:szCs w:val="28"/>
          <w:lang w:eastAsia="en-US"/>
        </w:rPr>
        <w:t xml:space="preserve"> </w:t>
      </w:r>
      <w:r w:rsidR="006E7A33" w:rsidRPr="00B204B8">
        <w:rPr>
          <w:rFonts w:eastAsiaTheme="minorHAnsi"/>
          <w:sz w:val="28"/>
          <w:szCs w:val="28"/>
          <w:lang w:eastAsia="en-US"/>
        </w:rPr>
        <w:t>«</w:t>
      </w:r>
      <w:r w:rsidR="00F5335C" w:rsidRPr="00B204B8">
        <w:rPr>
          <w:rFonts w:eastAsiaTheme="minorHAnsi"/>
          <w:sz w:val="28"/>
          <w:szCs w:val="28"/>
          <w:lang w:eastAsia="en-US"/>
        </w:rPr>
        <w:t>О</w:t>
      </w:r>
      <w:r w:rsidRPr="00B204B8">
        <w:rPr>
          <w:rFonts w:eastAsiaTheme="minorHAnsi"/>
          <w:sz w:val="28"/>
          <w:szCs w:val="28"/>
          <w:lang w:eastAsia="en-US"/>
        </w:rPr>
        <w:t>б основных направлениях совершенствования системы государственного управления</w:t>
      </w:r>
      <w:r w:rsidR="006E7A33" w:rsidRPr="00B204B8">
        <w:rPr>
          <w:rFonts w:eastAsiaTheme="minorHAnsi"/>
          <w:sz w:val="28"/>
          <w:szCs w:val="28"/>
          <w:lang w:eastAsia="en-US"/>
        </w:rPr>
        <w:t>»</w:t>
      </w:r>
      <w:r w:rsidR="00F5335C" w:rsidRPr="00B204B8">
        <w:rPr>
          <w:rFonts w:eastAsiaTheme="minorHAnsi"/>
          <w:sz w:val="28"/>
          <w:szCs w:val="28"/>
          <w:lang w:eastAsia="en-US"/>
        </w:rPr>
        <w:t>.</w:t>
      </w:r>
      <w:r w:rsidRPr="00B204B8">
        <w:rPr>
          <w:rFonts w:eastAsiaTheme="minorHAnsi"/>
          <w:lang w:eastAsia="en-US"/>
        </w:rPr>
        <w:t xml:space="preserve"> </w:t>
      </w:r>
      <w:r w:rsidRPr="00B204B8">
        <w:rPr>
          <w:sz w:val="28"/>
          <w:szCs w:val="28"/>
        </w:rPr>
        <w:t xml:space="preserve"> </w:t>
      </w:r>
    </w:p>
    <w:p w:rsidR="00F5335C" w:rsidRPr="00B204B8" w:rsidRDefault="00F5335C" w:rsidP="00F5335C">
      <w:pPr>
        <w:ind w:firstLine="709"/>
        <w:jc w:val="both"/>
        <w:rPr>
          <w:sz w:val="28"/>
          <w:szCs w:val="28"/>
        </w:rPr>
      </w:pPr>
      <w:r w:rsidRPr="00B204B8">
        <w:rPr>
          <w:sz w:val="28"/>
          <w:szCs w:val="28"/>
        </w:rPr>
        <w:t>Нормативно-правовыми актами Камчатского края, регламентирующими работу по оценке эффективности деятельности органов местного самоуправления в Камчатском крае</w:t>
      </w:r>
      <w:r w:rsidR="00D23353" w:rsidRPr="00B204B8">
        <w:rPr>
          <w:sz w:val="28"/>
          <w:szCs w:val="28"/>
        </w:rPr>
        <w:t>,</w:t>
      </w:r>
      <w:r w:rsidRPr="00B204B8">
        <w:rPr>
          <w:sz w:val="28"/>
          <w:szCs w:val="28"/>
        </w:rPr>
        <w:t xml:space="preserve"> являются:</w:t>
      </w:r>
    </w:p>
    <w:p w:rsidR="00BD41EB" w:rsidRPr="00B204B8" w:rsidRDefault="00BD41EB" w:rsidP="00BD41EB">
      <w:pPr>
        <w:ind w:firstLine="709"/>
        <w:jc w:val="both"/>
        <w:rPr>
          <w:sz w:val="28"/>
          <w:szCs w:val="28"/>
        </w:rPr>
      </w:pPr>
      <w:r w:rsidRPr="00B204B8">
        <w:rPr>
          <w:sz w:val="28"/>
          <w:szCs w:val="28"/>
        </w:rPr>
        <w:t xml:space="preserve">1. </w:t>
      </w:r>
      <w:r w:rsidR="00D23353" w:rsidRPr="00B204B8">
        <w:rPr>
          <w:sz w:val="28"/>
          <w:szCs w:val="28"/>
        </w:rPr>
        <w:t>П</w:t>
      </w:r>
      <w:r w:rsidRPr="00B204B8">
        <w:rPr>
          <w:sz w:val="28"/>
          <w:szCs w:val="28"/>
        </w:rPr>
        <w:t>остановление</w:t>
      </w:r>
      <w:r w:rsidR="00124249" w:rsidRPr="00B204B8">
        <w:rPr>
          <w:sz w:val="28"/>
          <w:szCs w:val="28"/>
        </w:rPr>
        <w:t xml:space="preserve"> </w:t>
      </w:r>
      <w:r w:rsidRPr="00B204B8">
        <w:rPr>
          <w:sz w:val="28"/>
          <w:szCs w:val="28"/>
        </w:rPr>
        <w:t>Губернатора Камчатского края от 02</w:t>
      </w:r>
      <w:r w:rsidR="00B855C8">
        <w:rPr>
          <w:sz w:val="28"/>
          <w:szCs w:val="28"/>
        </w:rPr>
        <w:t>.04.</w:t>
      </w:r>
      <w:r w:rsidRPr="00B204B8">
        <w:rPr>
          <w:sz w:val="28"/>
          <w:szCs w:val="28"/>
        </w:rPr>
        <w:t>2009</w:t>
      </w:r>
      <w:r w:rsidR="00B855C8">
        <w:rPr>
          <w:sz w:val="28"/>
          <w:szCs w:val="28"/>
        </w:rPr>
        <w:t xml:space="preserve"> </w:t>
      </w:r>
      <w:r w:rsidRPr="00B204B8">
        <w:rPr>
          <w:sz w:val="28"/>
          <w:szCs w:val="28"/>
        </w:rPr>
        <w:t xml:space="preserve">№ </w:t>
      </w:r>
      <w:r w:rsidR="001E3A0E" w:rsidRPr="00B204B8">
        <w:rPr>
          <w:sz w:val="28"/>
          <w:szCs w:val="28"/>
        </w:rPr>
        <w:t> </w:t>
      </w:r>
      <w:r w:rsidRPr="00B204B8">
        <w:rPr>
          <w:sz w:val="28"/>
          <w:szCs w:val="28"/>
        </w:rPr>
        <w:t>85 «О мониторинге эффективности деятельности органов местного самоуправления городских округов и муниципальных районов в Камчатском крае»</w:t>
      </w:r>
      <w:r w:rsidR="008D11BD">
        <w:rPr>
          <w:sz w:val="28"/>
          <w:szCs w:val="28"/>
        </w:rPr>
        <w:t>;</w:t>
      </w:r>
      <w:r w:rsidRPr="00B204B8">
        <w:rPr>
          <w:sz w:val="28"/>
          <w:szCs w:val="28"/>
        </w:rPr>
        <w:t xml:space="preserve"> </w:t>
      </w:r>
    </w:p>
    <w:p w:rsidR="00BD41EB" w:rsidRPr="00B204B8" w:rsidRDefault="00D23353" w:rsidP="00BD41EB">
      <w:pPr>
        <w:ind w:firstLine="709"/>
        <w:jc w:val="both"/>
        <w:rPr>
          <w:sz w:val="28"/>
          <w:szCs w:val="28"/>
        </w:rPr>
      </w:pPr>
      <w:r w:rsidRPr="00B204B8">
        <w:rPr>
          <w:sz w:val="28"/>
          <w:szCs w:val="28"/>
        </w:rPr>
        <w:t>2. Р</w:t>
      </w:r>
      <w:r w:rsidR="00486F5B" w:rsidRPr="00B204B8">
        <w:rPr>
          <w:sz w:val="28"/>
          <w:szCs w:val="28"/>
        </w:rPr>
        <w:t xml:space="preserve">аспоряжение </w:t>
      </w:r>
      <w:r w:rsidR="00BD41EB" w:rsidRPr="00B204B8">
        <w:rPr>
          <w:sz w:val="28"/>
          <w:szCs w:val="28"/>
        </w:rPr>
        <w:t>Пр</w:t>
      </w:r>
      <w:r w:rsidR="00486F5B" w:rsidRPr="00B204B8">
        <w:rPr>
          <w:sz w:val="28"/>
          <w:szCs w:val="28"/>
        </w:rPr>
        <w:t xml:space="preserve">авительства Камчатского края от </w:t>
      </w:r>
      <w:r w:rsidR="00BD41EB" w:rsidRPr="00B204B8">
        <w:rPr>
          <w:sz w:val="28"/>
          <w:szCs w:val="28"/>
        </w:rPr>
        <w:t>21</w:t>
      </w:r>
      <w:r w:rsidR="00B855C8">
        <w:rPr>
          <w:sz w:val="28"/>
          <w:szCs w:val="28"/>
        </w:rPr>
        <w:t xml:space="preserve">.09.2009 </w:t>
      </w:r>
      <w:r w:rsidR="00B855C8">
        <w:rPr>
          <w:sz w:val="28"/>
          <w:szCs w:val="28"/>
        </w:rPr>
        <w:br/>
      </w:r>
      <w:r w:rsidR="00BD41EB" w:rsidRPr="00B204B8">
        <w:rPr>
          <w:sz w:val="28"/>
          <w:szCs w:val="28"/>
        </w:rPr>
        <w:t>№ 428-РП</w:t>
      </w:r>
      <w:r w:rsidR="0052763F" w:rsidRPr="00B204B8">
        <w:rPr>
          <w:sz w:val="28"/>
          <w:szCs w:val="28"/>
        </w:rPr>
        <w:t>,</w:t>
      </w:r>
      <w:r w:rsidR="00BD41EB" w:rsidRPr="00B204B8">
        <w:rPr>
          <w:sz w:val="28"/>
          <w:szCs w:val="28"/>
        </w:rPr>
        <w:t xml:space="preserve"> утверждающее Правила проведения оценки эффективности деятельности органов местного самоуправления городских округов и муниципальных районов в Камчатском крае</w:t>
      </w:r>
      <w:r w:rsidR="00450CA3" w:rsidRPr="00B204B8">
        <w:rPr>
          <w:sz w:val="28"/>
          <w:szCs w:val="28"/>
        </w:rPr>
        <w:t xml:space="preserve"> (далее</w:t>
      </w:r>
      <w:r w:rsidR="00AF5AEE">
        <w:rPr>
          <w:sz w:val="28"/>
          <w:szCs w:val="28"/>
        </w:rPr>
        <w:t xml:space="preserve"> </w:t>
      </w:r>
      <w:r w:rsidR="00450CA3" w:rsidRPr="00B204B8">
        <w:rPr>
          <w:sz w:val="28"/>
          <w:szCs w:val="28"/>
        </w:rPr>
        <w:t>– Правила)</w:t>
      </w:r>
      <w:r w:rsidR="008D11BD">
        <w:rPr>
          <w:sz w:val="28"/>
          <w:szCs w:val="28"/>
        </w:rPr>
        <w:t>;</w:t>
      </w:r>
    </w:p>
    <w:p w:rsidR="00BD41EB" w:rsidRPr="00B204B8" w:rsidRDefault="00BD41EB" w:rsidP="00BD41EB">
      <w:pPr>
        <w:ind w:firstLine="709"/>
        <w:jc w:val="both"/>
        <w:rPr>
          <w:sz w:val="28"/>
          <w:szCs w:val="28"/>
        </w:rPr>
      </w:pPr>
      <w:r w:rsidRPr="00B204B8">
        <w:rPr>
          <w:sz w:val="28"/>
          <w:szCs w:val="28"/>
        </w:rPr>
        <w:t xml:space="preserve">3. </w:t>
      </w:r>
      <w:r w:rsidR="00D23353" w:rsidRPr="00B204B8">
        <w:rPr>
          <w:sz w:val="28"/>
          <w:szCs w:val="28"/>
        </w:rPr>
        <w:t>П</w:t>
      </w:r>
      <w:r w:rsidRPr="00B204B8">
        <w:rPr>
          <w:sz w:val="28"/>
          <w:szCs w:val="28"/>
        </w:rPr>
        <w:t>остановление Губернатора Камчатского края от 17</w:t>
      </w:r>
      <w:r w:rsidR="00B855C8">
        <w:rPr>
          <w:sz w:val="28"/>
          <w:szCs w:val="28"/>
        </w:rPr>
        <w:t>.07.</w:t>
      </w:r>
      <w:r w:rsidRPr="00B204B8">
        <w:rPr>
          <w:sz w:val="28"/>
          <w:szCs w:val="28"/>
        </w:rPr>
        <w:t>2009</w:t>
      </w:r>
      <w:r w:rsidR="00B855C8">
        <w:rPr>
          <w:sz w:val="28"/>
          <w:szCs w:val="28"/>
        </w:rPr>
        <w:t xml:space="preserve"> </w:t>
      </w:r>
      <w:r w:rsidRPr="00B204B8">
        <w:rPr>
          <w:sz w:val="28"/>
          <w:szCs w:val="28"/>
        </w:rPr>
        <w:t>№</w:t>
      </w:r>
      <w:r w:rsidR="00E22FA1" w:rsidRPr="00B204B8">
        <w:rPr>
          <w:sz w:val="28"/>
          <w:szCs w:val="28"/>
          <w:lang w:val="en-US"/>
        </w:rPr>
        <w:t> </w:t>
      </w:r>
      <w:r w:rsidRPr="00B204B8">
        <w:rPr>
          <w:sz w:val="28"/>
          <w:szCs w:val="28"/>
        </w:rPr>
        <w:t>178 «О порядке выделения из краевого бюджета грантов городским округам и муниципальным районам в Камчатском крае в целях содействия достижению и (или) поощрения достижения наилучших значений показателей деятельности органов местного самоуправления городских округов и муниципальных районов в Камчатском крае»</w:t>
      </w:r>
      <w:r w:rsidR="008D11BD">
        <w:rPr>
          <w:sz w:val="28"/>
          <w:szCs w:val="28"/>
        </w:rPr>
        <w:t>;</w:t>
      </w:r>
    </w:p>
    <w:p w:rsidR="00BD41EB" w:rsidRPr="00B204B8" w:rsidRDefault="00BD41EB" w:rsidP="00BD41EB">
      <w:pPr>
        <w:pStyle w:val="ConsPlusTitle"/>
        <w:ind w:firstLine="709"/>
        <w:jc w:val="both"/>
        <w:rPr>
          <w:rFonts w:ascii="Times New Roman" w:eastAsia="SimSun" w:hAnsi="Times New Roman" w:cs="Times New Roman"/>
          <w:b w:val="0"/>
          <w:bCs w:val="0"/>
          <w:sz w:val="28"/>
          <w:szCs w:val="28"/>
          <w:lang w:eastAsia="zh-CN"/>
        </w:rPr>
      </w:pPr>
      <w:r w:rsidRPr="00B204B8">
        <w:rPr>
          <w:rFonts w:ascii="Times New Roman" w:eastAsia="SimSun" w:hAnsi="Times New Roman" w:cs="Times New Roman"/>
          <w:b w:val="0"/>
          <w:bCs w:val="0"/>
          <w:sz w:val="28"/>
          <w:szCs w:val="28"/>
          <w:lang w:eastAsia="zh-CN"/>
        </w:rPr>
        <w:t xml:space="preserve">4. </w:t>
      </w:r>
      <w:r w:rsidR="00D23353" w:rsidRPr="00B204B8">
        <w:rPr>
          <w:rFonts w:ascii="Times New Roman" w:eastAsia="SimSun" w:hAnsi="Times New Roman" w:cs="Times New Roman"/>
          <w:b w:val="0"/>
          <w:bCs w:val="0"/>
          <w:sz w:val="28"/>
          <w:szCs w:val="28"/>
          <w:lang w:eastAsia="zh-CN"/>
        </w:rPr>
        <w:t>П</w:t>
      </w:r>
      <w:r w:rsidRPr="00B204B8">
        <w:rPr>
          <w:rFonts w:ascii="Times New Roman" w:eastAsia="SimSun" w:hAnsi="Times New Roman" w:cs="Times New Roman"/>
          <w:b w:val="0"/>
          <w:bCs w:val="0"/>
          <w:sz w:val="28"/>
          <w:szCs w:val="28"/>
          <w:lang w:eastAsia="zh-CN"/>
        </w:rPr>
        <w:t>остановление Губернатора Камчатского края от 07</w:t>
      </w:r>
      <w:r w:rsidR="00F67989">
        <w:rPr>
          <w:rFonts w:ascii="Times New Roman" w:eastAsia="SimSun" w:hAnsi="Times New Roman" w:cs="Times New Roman"/>
          <w:b w:val="0"/>
          <w:bCs w:val="0"/>
          <w:sz w:val="28"/>
          <w:szCs w:val="28"/>
          <w:lang w:eastAsia="zh-CN"/>
        </w:rPr>
        <w:t>.04.</w:t>
      </w:r>
      <w:r w:rsidRPr="00B204B8">
        <w:rPr>
          <w:rFonts w:ascii="Times New Roman" w:eastAsia="SimSun" w:hAnsi="Times New Roman" w:cs="Times New Roman"/>
          <w:b w:val="0"/>
          <w:bCs w:val="0"/>
          <w:sz w:val="28"/>
          <w:szCs w:val="28"/>
          <w:lang w:eastAsia="zh-CN"/>
        </w:rPr>
        <w:t>2009</w:t>
      </w:r>
      <w:r w:rsidR="00F67989">
        <w:rPr>
          <w:rFonts w:ascii="Times New Roman" w:eastAsia="SimSun" w:hAnsi="Times New Roman" w:cs="Times New Roman"/>
          <w:b w:val="0"/>
          <w:bCs w:val="0"/>
          <w:sz w:val="28"/>
          <w:szCs w:val="28"/>
          <w:lang w:eastAsia="zh-CN"/>
        </w:rPr>
        <w:t xml:space="preserve"> </w:t>
      </w:r>
      <w:r w:rsidRPr="00B204B8">
        <w:rPr>
          <w:rFonts w:ascii="Times New Roman" w:eastAsia="SimSun" w:hAnsi="Times New Roman" w:cs="Times New Roman"/>
          <w:b w:val="0"/>
          <w:bCs w:val="0"/>
          <w:sz w:val="28"/>
          <w:szCs w:val="28"/>
          <w:lang w:eastAsia="zh-CN"/>
        </w:rPr>
        <w:t>№</w:t>
      </w:r>
      <w:r w:rsidR="00486F5B" w:rsidRPr="00B204B8">
        <w:rPr>
          <w:rFonts w:ascii="Times New Roman" w:eastAsia="SimSun" w:hAnsi="Times New Roman" w:cs="Times New Roman"/>
          <w:b w:val="0"/>
          <w:bCs w:val="0"/>
          <w:sz w:val="28"/>
          <w:szCs w:val="28"/>
          <w:lang w:eastAsia="zh-CN"/>
        </w:rPr>
        <w:t> </w:t>
      </w:r>
      <w:r w:rsidRPr="00B204B8">
        <w:rPr>
          <w:rFonts w:ascii="Times New Roman" w:eastAsia="SimSun" w:hAnsi="Times New Roman" w:cs="Times New Roman"/>
          <w:b w:val="0"/>
          <w:bCs w:val="0"/>
          <w:sz w:val="28"/>
          <w:szCs w:val="28"/>
          <w:lang w:eastAsia="zh-CN"/>
        </w:rPr>
        <w:t xml:space="preserve"> 91 «О порядке организации проведения социологических опросов по определению уровня оценки населением результатов деятельности органов местного самоуправления городских округов и муниципальных районов в Камчатском крае»</w:t>
      </w:r>
      <w:r w:rsidR="00D23353" w:rsidRPr="00B204B8">
        <w:rPr>
          <w:rFonts w:ascii="Times New Roman" w:eastAsia="SimSun" w:hAnsi="Times New Roman" w:cs="Times New Roman"/>
          <w:b w:val="0"/>
          <w:bCs w:val="0"/>
          <w:sz w:val="28"/>
          <w:szCs w:val="28"/>
          <w:lang w:eastAsia="zh-CN"/>
        </w:rPr>
        <w:t>.</w:t>
      </w:r>
      <w:r w:rsidRPr="00B204B8">
        <w:rPr>
          <w:rFonts w:ascii="Times New Roman" w:eastAsia="SimSun" w:hAnsi="Times New Roman" w:cs="Times New Roman"/>
          <w:b w:val="0"/>
          <w:bCs w:val="0"/>
          <w:sz w:val="28"/>
          <w:szCs w:val="28"/>
          <w:lang w:eastAsia="zh-CN"/>
        </w:rPr>
        <w:t xml:space="preserve"> </w:t>
      </w:r>
    </w:p>
    <w:p w:rsidR="00A25541" w:rsidRPr="00B204B8" w:rsidRDefault="00BD41EB" w:rsidP="00BD41EB">
      <w:pPr>
        <w:ind w:firstLine="709"/>
        <w:jc w:val="both"/>
        <w:rPr>
          <w:sz w:val="28"/>
          <w:szCs w:val="28"/>
        </w:rPr>
      </w:pPr>
      <w:r w:rsidRPr="00B204B8">
        <w:rPr>
          <w:sz w:val="28"/>
          <w:szCs w:val="28"/>
        </w:rPr>
        <w:t xml:space="preserve">Все нормативные правовые акты размещены </w:t>
      </w:r>
      <w:r w:rsidR="0034597B" w:rsidRPr="00B204B8">
        <w:rPr>
          <w:sz w:val="28"/>
          <w:szCs w:val="28"/>
        </w:rPr>
        <w:t xml:space="preserve">на странице Минэкономразвития Камчатского края официального сайта исполнительных органов государственной власти Камчатского края в сети </w:t>
      </w:r>
      <w:r w:rsidR="00320DEC" w:rsidRPr="00B204B8">
        <w:rPr>
          <w:sz w:val="28"/>
          <w:szCs w:val="28"/>
        </w:rPr>
        <w:t>«</w:t>
      </w:r>
      <w:r w:rsidR="0034597B" w:rsidRPr="00B204B8">
        <w:rPr>
          <w:sz w:val="28"/>
          <w:szCs w:val="28"/>
        </w:rPr>
        <w:t>Интернет</w:t>
      </w:r>
      <w:r w:rsidR="00320DEC" w:rsidRPr="00B204B8">
        <w:rPr>
          <w:sz w:val="28"/>
          <w:szCs w:val="28"/>
        </w:rPr>
        <w:t>»</w:t>
      </w:r>
      <w:r w:rsidR="0034597B" w:rsidRPr="00B204B8">
        <w:rPr>
          <w:sz w:val="28"/>
          <w:szCs w:val="28"/>
        </w:rPr>
        <w:t xml:space="preserve"> </w:t>
      </w:r>
      <w:r w:rsidR="00B915DC" w:rsidRPr="00B204B8">
        <w:rPr>
          <w:sz w:val="28"/>
          <w:szCs w:val="28"/>
        </w:rPr>
        <w:t xml:space="preserve">по ссылке: </w:t>
      </w:r>
      <w:r w:rsidR="00B915DC" w:rsidRPr="004F775B">
        <w:rPr>
          <w:sz w:val="27"/>
          <w:szCs w:val="27"/>
        </w:rPr>
        <w:t>http://www.kamgov.ru/?cont=oiv_din&amp;m</w:t>
      </w:r>
      <w:r w:rsidR="00E116A3" w:rsidRPr="004F775B">
        <w:rPr>
          <w:sz w:val="27"/>
          <w:szCs w:val="27"/>
        </w:rPr>
        <w:t>cont=3102&amp;menu=4&amp;menu2=0&amp;id=533</w:t>
      </w:r>
      <w:r w:rsidR="004F775B">
        <w:rPr>
          <w:sz w:val="27"/>
          <w:szCs w:val="27"/>
        </w:rPr>
        <w:t>.</w:t>
      </w:r>
      <w:r w:rsidR="00E22FA1" w:rsidRPr="00B204B8">
        <w:rPr>
          <w:sz w:val="28"/>
          <w:szCs w:val="28"/>
        </w:rPr>
        <w:t xml:space="preserve"> </w:t>
      </w:r>
    </w:p>
    <w:p w:rsidR="00BB0598" w:rsidRPr="00B204B8" w:rsidRDefault="00474618" w:rsidP="007E6C45">
      <w:pPr>
        <w:autoSpaceDE w:val="0"/>
        <w:autoSpaceDN w:val="0"/>
        <w:adjustRightInd w:val="0"/>
        <w:ind w:firstLine="540"/>
        <w:jc w:val="both"/>
        <w:rPr>
          <w:sz w:val="28"/>
          <w:szCs w:val="28"/>
        </w:rPr>
      </w:pPr>
      <w:r w:rsidRPr="00B204B8">
        <w:rPr>
          <w:sz w:val="28"/>
          <w:szCs w:val="28"/>
        </w:rPr>
        <w:lastRenderedPageBreak/>
        <w:t xml:space="preserve">В соответствии с Правилами </w:t>
      </w:r>
      <w:r w:rsidR="00DE40CA" w:rsidRPr="00B204B8">
        <w:rPr>
          <w:sz w:val="28"/>
          <w:szCs w:val="28"/>
        </w:rPr>
        <w:t>о</w:t>
      </w:r>
      <w:r w:rsidR="00BD41EB" w:rsidRPr="00B204B8">
        <w:rPr>
          <w:sz w:val="28"/>
          <w:szCs w:val="28"/>
        </w:rPr>
        <w:t>ценка эффективности</w:t>
      </w:r>
      <w:r w:rsidR="00AF5AEE" w:rsidRPr="00AF5AEE">
        <w:rPr>
          <w:sz w:val="28"/>
          <w:szCs w:val="28"/>
        </w:rPr>
        <w:t xml:space="preserve"> </w:t>
      </w:r>
      <w:r w:rsidR="00AF5AEE" w:rsidRPr="00B204B8">
        <w:rPr>
          <w:sz w:val="28"/>
          <w:szCs w:val="28"/>
        </w:rPr>
        <w:t>деятельности органов местного самоуправления</w:t>
      </w:r>
      <w:r w:rsidR="00DE40CA" w:rsidRPr="00B204B8">
        <w:rPr>
          <w:sz w:val="28"/>
          <w:szCs w:val="28"/>
        </w:rPr>
        <w:t xml:space="preserve"> рассчитывается на основе комплексной оценки и экспертной оценки. Комплексная оценка эффективности</w:t>
      </w:r>
      <w:r w:rsidR="00BD41EB" w:rsidRPr="00B204B8">
        <w:rPr>
          <w:sz w:val="28"/>
          <w:szCs w:val="28"/>
        </w:rPr>
        <w:t xml:space="preserve"> деятельности органов местного самоуправления городских округов и муниципальных районов в Камчатском крае осуществляется</w:t>
      </w:r>
      <w:r w:rsidR="00DE40CA" w:rsidRPr="00B204B8">
        <w:rPr>
          <w:sz w:val="28"/>
          <w:szCs w:val="28"/>
        </w:rPr>
        <w:t xml:space="preserve"> по 36 показателям</w:t>
      </w:r>
      <w:r w:rsidR="00CC425C" w:rsidRPr="00B204B8">
        <w:rPr>
          <w:sz w:val="28"/>
          <w:szCs w:val="28"/>
        </w:rPr>
        <w:t>, экспертная – по 4 показателям.</w:t>
      </w:r>
    </w:p>
    <w:p w:rsidR="00BB1454" w:rsidRPr="00B204B8" w:rsidRDefault="00BB0598" w:rsidP="007E6C45">
      <w:pPr>
        <w:autoSpaceDE w:val="0"/>
        <w:autoSpaceDN w:val="0"/>
        <w:adjustRightInd w:val="0"/>
        <w:ind w:firstLine="540"/>
        <w:jc w:val="both"/>
        <w:rPr>
          <w:sz w:val="28"/>
          <w:szCs w:val="28"/>
        </w:rPr>
      </w:pPr>
      <w:r w:rsidRPr="00B204B8">
        <w:rPr>
          <w:sz w:val="28"/>
          <w:szCs w:val="28"/>
        </w:rPr>
        <w:t>По каждому показателю составляется сводный индекс, который является весовой комбинацией среднегодовых значений (уровня) и среднего темпа роста показателя (динамики).</w:t>
      </w:r>
    </w:p>
    <w:p w:rsidR="00403D09" w:rsidRPr="00B204B8" w:rsidRDefault="00403D09" w:rsidP="007E6C45">
      <w:pPr>
        <w:autoSpaceDE w:val="0"/>
        <w:autoSpaceDN w:val="0"/>
        <w:adjustRightInd w:val="0"/>
        <w:ind w:firstLine="540"/>
        <w:jc w:val="both"/>
        <w:rPr>
          <w:sz w:val="28"/>
          <w:szCs w:val="28"/>
        </w:rPr>
      </w:pPr>
      <w:r w:rsidRPr="00B204B8">
        <w:rPr>
          <w:sz w:val="28"/>
          <w:szCs w:val="28"/>
        </w:rPr>
        <w:t>По всем показателям в оценке эффективности в большей степени учитывается их динамика – вес среднегодовых темпов роста составляет 60 %, на долю среднего объема показателя приходится только 40 %.</w:t>
      </w:r>
    </w:p>
    <w:p w:rsidR="007E6C45" w:rsidRPr="00B204B8" w:rsidRDefault="004F1133" w:rsidP="004F1133">
      <w:pPr>
        <w:autoSpaceDE w:val="0"/>
        <w:autoSpaceDN w:val="0"/>
        <w:adjustRightInd w:val="0"/>
        <w:ind w:firstLine="540"/>
        <w:jc w:val="both"/>
        <w:rPr>
          <w:rFonts w:eastAsiaTheme="minorHAnsi"/>
          <w:sz w:val="28"/>
          <w:szCs w:val="28"/>
          <w:lang w:eastAsia="en-US"/>
        </w:rPr>
      </w:pPr>
      <w:r w:rsidRPr="00B204B8">
        <w:rPr>
          <w:sz w:val="28"/>
          <w:szCs w:val="28"/>
        </w:rPr>
        <w:t>На результаты оценки эффективности значительное влияние оказывает показатель № 37 «Удовлетворенность населения деятельностью органов местного самоуправления городского округа (муниципального района)»</w:t>
      </w:r>
      <w:r w:rsidR="00323824" w:rsidRPr="00B204B8">
        <w:rPr>
          <w:sz w:val="28"/>
          <w:szCs w:val="28"/>
        </w:rPr>
        <w:t>, его вес в оценке соста</w:t>
      </w:r>
      <w:r w:rsidRPr="00B204B8">
        <w:rPr>
          <w:sz w:val="28"/>
          <w:szCs w:val="28"/>
        </w:rPr>
        <w:t xml:space="preserve">вляет 20 %. </w:t>
      </w:r>
      <w:r w:rsidR="00BA7629" w:rsidRPr="00B204B8">
        <w:rPr>
          <w:sz w:val="28"/>
          <w:szCs w:val="28"/>
        </w:rPr>
        <w:t xml:space="preserve">Опросы населения </w:t>
      </w:r>
      <w:r w:rsidR="00320DEC" w:rsidRPr="00B204B8">
        <w:rPr>
          <w:sz w:val="28"/>
          <w:szCs w:val="28"/>
        </w:rPr>
        <w:t xml:space="preserve">ежегодно проводит Агентство по внутренней политике Камчатского края с размещением </w:t>
      </w:r>
      <w:r w:rsidR="00042817" w:rsidRPr="00B204B8">
        <w:rPr>
          <w:sz w:val="28"/>
          <w:szCs w:val="28"/>
        </w:rPr>
        <w:t>результато</w:t>
      </w:r>
      <w:r w:rsidR="00C105B3" w:rsidRPr="00B204B8">
        <w:rPr>
          <w:sz w:val="28"/>
          <w:szCs w:val="28"/>
        </w:rPr>
        <w:t>в</w:t>
      </w:r>
      <w:r w:rsidR="00320DEC" w:rsidRPr="00B204B8">
        <w:rPr>
          <w:sz w:val="28"/>
          <w:szCs w:val="28"/>
        </w:rPr>
        <w:t xml:space="preserve"> на официальном сайте исполнительных органов государственной власти Камчатского края в сети «Интернет».</w:t>
      </w:r>
    </w:p>
    <w:p w:rsidR="00BD41EB" w:rsidRPr="00B204B8" w:rsidRDefault="00BD41EB" w:rsidP="00BD41EB">
      <w:pPr>
        <w:adjustRightInd w:val="0"/>
        <w:ind w:firstLine="709"/>
        <w:jc w:val="both"/>
        <w:outlineLvl w:val="1"/>
        <w:rPr>
          <w:sz w:val="28"/>
          <w:szCs w:val="28"/>
        </w:rPr>
      </w:pPr>
      <w:r w:rsidRPr="00B204B8">
        <w:rPr>
          <w:sz w:val="28"/>
          <w:szCs w:val="28"/>
        </w:rPr>
        <w:t>Учитывая различия в статусе городских округов и муниципальных районов, оценка эффективности деятельности органов местного самоуправления муниципальных образований в Камчатском крае осуществляется отдельно среди городских округов и среди муниципальных районов.</w:t>
      </w:r>
    </w:p>
    <w:p w:rsidR="00BD41EB" w:rsidRPr="00B204B8" w:rsidRDefault="0088738A" w:rsidP="00BD41EB">
      <w:pPr>
        <w:adjustRightInd w:val="0"/>
        <w:ind w:firstLine="709"/>
        <w:jc w:val="both"/>
        <w:outlineLvl w:val="1"/>
        <w:rPr>
          <w:sz w:val="28"/>
          <w:szCs w:val="28"/>
        </w:rPr>
      </w:pPr>
      <w:r w:rsidRPr="00B204B8">
        <w:rPr>
          <w:sz w:val="28"/>
          <w:szCs w:val="28"/>
        </w:rPr>
        <w:t>Оценка</w:t>
      </w:r>
      <w:r w:rsidR="00BD41EB" w:rsidRPr="00B204B8">
        <w:rPr>
          <w:sz w:val="28"/>
          <w:szCs w:val="28"/>
        </w:rPr>
        <w:t xml:space="preserve"> эффективности деятельности органов местного самоуправления </w:t>
      </w:r>
      <w:r w:rsidRPr="00B204B8">
        <w:rPr>
          <w:sz w:val="28"/>
          <w:szCs w:val="28"/>
        </w:rPr>
        <w:t xml:space="preserve">осуществлялась </w:t>
      </w:r>
      <w:r w:rsidR="00BD41EB" w:rsidRPr="00B204B8">
        <w:rPr>
          <w:sz w:val="28"/>
          <w:szCs w:val="28"/>
        </w:rPr>
        <w:t>в следующих сферах:</w:t>
      </w:r>
    </w:p>
    <w:p w:rsidR="00BD41EB" w:rsidRPr="00B204B8" w:rsidRDefault="00BD41EB" w:rsidP="00BD41EB">
      <w:pPr>
        <w:adjustRightInd w:val="0"/>
        <w:ind w:firstLine="709"/>
        <w:jc w:val="both"/>
        <w:outlineLvl w:val="1"/>
        <w:rPr>
          <w:sz w:val="28"/>
          <w:szCs w:val="28"/>
        </w:rPr>
      </w:pPr>
      <w:r w:rsidRPr="00B204B8">
        <w:rPr>
          <w:sz w:val="28"/>
          <w:szCs w:val="28"/>
        </w:rPr>
        <w:t>1) экономическое развитие;</w:t>
      </w:r>
    </w:p>
    <w:p w:rsidR="00BD41EB" w:rsidRPr="00B204B8" w:rsidRDefault="00BD41EB" w:rsidP="00BD41EB">
      <w:pPr>
        <w:adjustRightInd w:val="0"/>
        <w:ind w:firstLine="709"/>
        <w:jc w:val="both"/>
        <w:outlineLvl w:val="1"/>
        <w:rPr>
          <w:sz w:val="28"/>
          <w:szCs w:val="28"/>
        </w:rPr>
      </w:pPr>
      <w:r w:rsidRPr="00B204B8">
        <w:rPr>
          <w:sz w:val="28"/>
          <w:szCs w:val="28"/>
        </w:rPr>
        <w:t>2) дошкольное образование;</w:t>
      </w:r>
    </w:p>
    <w:p w:rsidR="00BD41EB" w:rsidRPr="00B204B8" w:rsidRDefault="00BD41EB" w:rsidP="00BD41EB">
      <w:pPr>
        <w:adjustRightInd w:val="0"/>
        <w:ind w:firstLine="709"/>
        <w:jc w:val="both"/>
        <w:outlineLvl w:val="1"/>
        <w:rPr>
          <w:sz w:val="28"/>
          <w:szCs w:val="28"/>
        </w:rPr>
      </w:pPr>
      <w:r w:rsidRPr="00B204B8">
        <w:rPr>
          <w:sz w:val="28"/>
          <w:szCs w:val="28"/>
        </w:rPr>
        <w:t>3) общее и дополнительное образование;</w:t>
      </w:r>
    </w:p>
    <w:p w:rsidR="00BD41EB" w:rsidRPr="00B204B8" w:rsidRDefault="00BD41EB" w:rsidP="00BD41EB">
      <w:pPr>
        <w:adjustRightInd w:val="0"/>
        <w:ind w:firstLine="709"/>
        <w:jc w:val="both"/>
        <w:outlineLvl w:val="1"/>
        <w:rPr>
          <w:sz w:val="28"/>
          <w:szCs w:val="28"/>
        </w:rPr>
      </w:pPr>
      <w:r w:rsidRPr="00B204B8">
        <w:rPr>
          <w:sz w:val="28"/>
          <w:szCs w:val="28"/>
        </w:rPr>
        <w:t>4) культура;</w:t>
      </w:r>
    </w:p>
    <w:p w:rsidR="00BD41EB" w:rsidRPr="00B204B8" w:rsidRDefault="00BD41EB" w:rsidP="00BD41EB">
      <w:pPr>
        <w:adjustRightInd w:val="0"/>
        <w:ind w:firstLine="709"/>
        <w:jc w:val="both"/>
        <w:outlineLvl w:val="1"/>
        <w:rPr>
          <w:sz w:val="28"/>
          <w:szCs w:val="28"/>
        </w:rPr>
      </w:pPr>
      <w:r w:rsidRPr="00B204B8">
        <w:rPr>
          <w:sz w:val="28"/>
          <w:szCs w:val="28"/>
        </w:rPr>
        <w:t>5) физическая культура и спорт;</w:t>
      </w:r>
    </w:p>
    <w:p w:rsidR="00BD41EB" w:rsidRPr="00B204B8" w:rsidRDefault="00BD41EB" w:rsidP="00BD41EB">
      <w:pPr>
        <w:adjustRightInd w:val="0"/>
        <w:ind w:firstLine="709"/>
        <w:jc w:val="both"/>
        <w:outlineLvl w:val="1"/>
        <w:rPr>
          <w:sz w:val="28"/>
          <w:szCs w:val="28"/>
        </w:rPr>
      </w:pPr>
      <w:r w:rsidRPr="00B204B8">
        <w:rPr>
          <w:sz w:val="28"/>
          <w:szCs w:val="28"/>
        </w:rPr>
        <w:t>6) жилищное строительство и обеспечение граждан жильем;</w:t>
      </w:r>
    </w:p>
    <w:p w:rsidR="00BD41EB" w:rsidRPr="00B204B8" w:rsidRDefault="00BD41EB" w:rsidP="00BD41EB">
      <w:pPr>
        <w:adjustRightInd w:val="0"/>
        <w:ind w:firstLine="709"/>
        <w:jc w:val="both"/>
        <w:outlineLvl w:val="1"/>
        <w:rPr>
          <w:sz w:val="28"/>
          <w:szCs w:val="28"/>
        </w:rPr>
      </w:pPr>
      <w:r w:rsidRPr="00B204B8">
        <w:rPr>
          <w:sz w:val="28"/>
          <w:szCs w:val="28"/>
        </w:rPr>
        <w:t>7) жилищно-коммунальное хозяйство;</w:t>
      </w:r>
    </w:p>
    <w:p w:rsidR="00BD41EB" w:rsidRPr="00B204B8" w:rsidRDefault="00BD41EB" w:rsidP="00BD41EB">
      <w:pPr>
        <w:adjustRightInd w:val="0"/>
        <w:ind w:firstLine="709"/>
        <w:jc w:val="both"/>
        <w:outlineLvl w:val="1"/>
        <w:rPr>
          <w:sz w:val="28"/>
          <w:szCs w:val="28"/>
        </w:rPr>
      </w:pPr>
      <w:r w:rsidRPr="00B204B8">
        <w:rPr>
          <w:sz w:val="28"/>
          <w:szCs w:val="28"/>
        </w:rPr>
        <w:t>8) организация муниципального управления;</w:t>
      </w:r>
    </w:p>
    <w:p w:rsidR="00F830D9" w:rsidRPr="00B204B8" w:rsidRDefault="00BD41EB" w:rsidP="00BD41EB">
      <w:pPr>
        <w:adjustRightInd w:val="0"/>
        <w:ind w:firstLine="709"/>
        <w:jc w:val="both"/>
        <w:outlineLvl w:val="1"/>
        <w:rPr>
          <w:sz w:val="28"/>
          <w:szCs w:val="28"/>
        </w:rPr>
      </w:pPr>
      <w:r w:rsidRPr="00B204B8">
        <w:rPr>
          <w:sz w:val="28"/>
          <w:szCs w:val="28"/>
        </w:rPr>
        <w:t>9) энергосбережение и повышение энергетической эффективности.</w:t>
      </w:r>
    </w:p>
    <w:p w:rsidR="00F830D9" w:rsidRPr="00B204B8" w:rsidRDefault="00BD41EB" w:rsidP="00F830D9">
      <w:pPr>
        <w:adjustRightInd w:val="0"/>
        <w:ind w:firstLine="709"/>
        <w:jc w:val="both"/>
        <w:outlineLvl w:val="1"/>
        <w:rPr>
          <w:sz w:val="28"/>
          <w:szCs w:val="28"/>
        </w:rPr>
      </w:pPr>
      <w:r w:rsidRPr="00B204B8">
        <w:rPr>
          <w:sz w:val="28"/>
          <w:szCs w:val="28"/>
        </w:rPr>
        <w:t xml:space="preserve">В качестве исходных данных для проведения оценки эффективности деятельности органов местного самоуправления используются официальные данные, представленные </w:t>
      </w:r>
      <w:r w:rsidR="0088738A" w:rsidRPr="00B204B8">
        <w:rPr>
          <w:sz w:val="28"/>
          <w:szCs w:val="28"/>
        </w:rPr>
        <w:t>в докладах глав местных администраций городских округов и муниципальных районов в Камчатском крае, данные исполнительных органов государственной власти Камчатского края и Территориального органа Федеральной службы государственной статистики по Камчатскому краю, а также результаты опросов населения</w:t>
      </w:r>
      <w:r w:rsidR="00F830D9" w:rsidRPr="00B204B8">
        <w:rPr>
          <w:sz w:val="28"/>
          <w:szCs w:val="28"/>
        </w:rPr>
        <w:t>.</w:t>
      </w:r>
    </w:p>
    <w:p w:rsidR="00042817" w:rsidRPr="00B204B8" w:rsidRDefault="00042817" w:rsidP="00F830D9">
      <w:pPr>
        <w:adjustRightInd w:val="0"/>
        <w:ind w:firstLine="709"/>
        <w:jc w:val="both"/>
        <w:outlineLvl w:val="1"/>
        <w:rPr>
          <w:sz w:val="28"/>
          <w:szCs w:val="28"/>
        </w:rPr>
      </w:pPr>
      <w:r w:rsidRPr="00B204B8">
        <w:rPr>
          <w:sz w:val="28"/>
          <w:szCs w:val="28"/>
        </w:rPr>
        <w:t>Все доклады глав городских округов и муниципальных районов в Камчатском крае</w:t>
      </w:r>
      <w:r w:rsidR="009F15ED" w:rsidRPr="00B204B8">
        <w:rPr>
          <w:sz w:val="28"/>
          <w:szCs w:val="28"/>
        </w:rPr>
        <w:t xml:space="preserve"> за 2014 год</w:t>
      </w:r>
      <w:r w:rsidRPr="00B204B8">
        <w:rPr>
          <w:sz w:val="28"/>
          <w:szCs w:val="28"/>
        </w:rPr>
        <w:t xml:space="preserve"> размещены </w:t>
      </w:r>
      <w:r w:rsidR="009F15ED" w:rsidRPr="00B204B8">
        <w:rPr>
          <w:sz w:val="28"/>
          <w:szCs w:val="28"/>
        </w:rPr>
        <w:t xml:space="preserve">на странице Минэкономразвития </w:t>
      </w:r>
      <w:r w:rsidR="009F15ED" w:rsidRPr="00B204B8">
        <w:rPr>
          <w:sz w:val="28"/>
          <w:szCs w:val="28"/>
        </w:rPr>
        <w:lastRenderedPageBreak/>
        <w:t>Камчатского края официального сайта исполнительных органов государственной власти Камчатского края в сети «Интернет» в разделе «Эффективность органов местного самоуправления».</w:t>
      </w:r>
    </w:p>
    <w:p w:rsidR="00BF6332" w:rsidRPr="00B204B8" w:rsidRDefault="0034597B" w:rsidP="00BF6332">
      <w:pPr>
        <w:adjustRightInd w:val="0"/>
        <w:ind w:firstLine="708"/>
        <w:jc w:val="both"/>
        <w:outlineLvl w:val="1"/>
        <w:rPr>
          <w:sz w:val="28"/>
          <w:szCs w:val="28"/>
        </w:rPr>
      </w:pPr>
      <w:r w:rsidRPr="00B204B8">
        <w:rPr>
          <w:sz w:val="28"/>
          <w:szCs w:val="28"/>
        </w:rPr>
        <w:t xml:space="preserve">Выделение грантов осуществляется по результатам </w:t>
      </w:r>
      <w:r w:rsidR="00BF6332" w:rsidRPr="00B204B8">
        <w:rPr>
          <w:sz w:val="28"/>
          <w:szCs w:val="28"/>
        </w:rPr>
        <w:t xml:space="preserve">рейтингового ранжирования городских округов и муниципальных районов в Камчатском крае. Ежегодно </w:t>
      </w:r>
      <w:r w:rsidR="00F830D9" w:rsidRPr="00B204B8">
        <w:rPr>
          <w:sz w:val="28"/>
          <w:szCs w:val="28"/>
        </w:rPr>
        <w:t>выделяется</w:t>
      </w:r>
      <w:r w:rsidR="00BF6332" w:rsidRPr="00B204B8">
        <w:rPr>
          <w:sz w:val="28"/>
          <w:szCs w:val="28"/>
        </w:rPr>
        <w:t xml:space="preserve"> по одному гранту не более чем трем муниципальным районам в Камчатском крае и один грант только для одного городского округа в Камчатском крае.</w:t>
      </w:r>
    </w:p>
    <w:p w:rsidR="00BD41EB" w:rsidRPr="00B204B8" w:rsidRDefault="00BD41EB" w:rsidP="00A25541">
      <w:pPr>
        <w:adjustRightInd w:val="0"/>
        <w:ind w:firstLine="708"/>
        <w:jc w:val="both"/>
        <w:outlineLvl w:val="1"/>
        <w:rPr>
          <w:sz w:val="28"/>
          <w:szCs w:val="28"/>
        </w:rPr>
      </w:pPr>
    </w:p>
    <w:p w:rsidR="00BD41EB" w:rsidRPr="00B204B8" w:rsidRDefault="00967E52" w:rsidP="0058358E">
      <w:pPr>
        <w:jc w:val="center"/>
        <w:rPr>
          <w:b/>
          <w:sz w:val="28"/>
          <w:szCs w:val="28"/>
        </w:rPr>
      </w:pPr>
      <w:r w:rsidRPr="00B204B8">
        <w:rPr>
          <w:b/>
          <w:sz w:val="28"/>
          <w:szCs w:val="28"/>
          <w:lang w:val="en-US"/>
        </w:rPr>
        <w:t>I</w:t>
      </w:r>
      <w:r w:rsidRPr="00B204B8">
        <w:rPr>
          <w:b/>
          <w:sz w:val="28"/>
          <w:szCs w:val="28"/>
        </w:rPr>
        <w:t xml:space="preserve">. </w:t>
      </w:r>
      <w:r w:rsidR="00BD41EB" w:rsidRPr="00B204B8">
        <w:rPr>
          <w:b/>
          <w:sz w:val="28"/>
          <w:szCs w:val="28"/>
        </w:rPr>
        <w:t>Результаты мониторинга эффективности деятельности органов местного самоуправления городских округов и муниципальных районов</w:t>
      </w:r>
    </w:p>
    <w:p w:rsidR="00BD41EB" w:rsidRPr="00B204B8" w:rsidRDefault="00BD41EB" w:rsidP="00BD41EB">
      <w:pPr>
        <w:jc w:val="center"/>
        <w:rPr>
          <w:b/>
          <w:sz w:val="28"/>
          <w:szCs w:val="28"/>
        </w:rPr>
      </w:pPr>
    </w:p>
    <w:p w:rsidR="00BD41EB" w:rsidRPr="00B204B8" w:rsidRDefault="00BD41EB" w:rsidP="00394226">
      <w:pPr>
        <w:pStyle w:val="a3"/>
        <w:numPr>
          <w:ilvl w:val="0"/>
          <w:numId w:val="12"/>
        </w:numPr>
        <w:spacing w:after="0" w:line="240" w:lineRule="auto"/>
        <w:jc w:val="center"/>
        <w:rPr>
          <w:rFonts w:ascii="Times New Roman" w:hAnsi="Times New Roman"/>
          <w:b/>
          <w:sz w:val="28"/>
          <w:szCs w:val="28"/>
        </w:rPr>
      </w:pPr>
      <w:r w:rsidRPr="00B204B8">
        <w:rPr>
          <w:rFonts w:ascii="Times New Roman" w:hAnsi="Times New Roman"/>
          <w:b/>
          <w:sz w:val="28"/>
          <w:szCs w:val="28"/>
        </w:rPr>
        <w:t>Экономическое развитие</w:t>
      </w:r>
    </w:p>
    <w:p w:rsidR="00375DF9" w:rsidRPr="00B204B8" w:rsidRDefault="00375DF9" w:rsidP="00394226">
      <w:pPr>
        <w:spacing w:line="270" w:lineRule="atLeast"/>
        <w:ind w:firstLine="709"/>
        <w:jc w:val="both"/>
        <w:rPr>
          <w:rFonts w:ascii="TimesNewRomanPSMT" w:hAnsi="TimesNewRomanPSMT" w:hint="eastAsia"/>
          <w:sz w:val="28"/>
          <w:szCs w:val="28"/>
        </w:rPr>
      </w:pPr>
    </w:p>
    <w:p w:rsidR="007C57ED" w:rsidRPr="00B204B8" w:rsidRDefault="007C57ED" w:rsidP="007C57ED">
      <w:pPr>
        <w:autoSpaceDE w:val="0"/>
        <w:autoSpaceDN w:val="0"/>
        <w:adjustRightInd w:val="0"/>
        <w:ind w:firstLine="709"/>
        <w:jc w:val="both"/>
        <w:rPr>
          <w:sz w:val="28"/>
          <w:szCs w:val="28"/>
        </w:rPr>
      </w:pPr>
      <w:r w:rsidRPr="00B204B8">
        <w:rPr>
          <w:sz w:val="28"/>
          <w:szCs w:val="28"/>
        </w:rPr>
        <w:t xml:space="preserve">Несмотря на сложную внешнеполитическую и внешнеэкономическую ситуацию, сложившуюся во втором полугодии, по итогам 2014 года темпы роста экономики в Камчатском крае сохранялись на уровне средних значений по Дальневосточному федеральному округу. </w:t>
      </w:r>
    </w:p>
    <w:p w:rsidR="007C57ED" w:rsidRPr="00B204B8" w:rsidRDefault="007C57ED" w:rsidP="007C57ED">
      <w:pPr>
        <w:autoSpaceDE w:val="0"/>
        <w:autoSpaceDN w:val="0"/>
        <w:adjustRightInd w:val="0"/>
        <w:ind w:firstLine="709"/>
        <w:jc w:val="both"/>
        <w:rPr>
          <w:sz w:val="28"/>
          <w:szCs w:val="28"/>
        </w:rPr>
      </w:pPr>
      <w:r w:rsidRPr="00B204B8">
        <w:rPr>
          <w:sz w:val="28"/>
          <w:szCs w:val="28"/>
        </w:rPr>
        <w:t xml:space="preserve">Санкции, введенные в отношении России, сказались на многих отраслях Камчатского края. В августе 2014 года в регионе начал расти уровень инфляции и ставки по банковским кредитам, а позднее повысились цены на продукты питания и товары массового потребления. </w:t>
      </w:r>
    </w:p>
    <w:p w:rsidR="007C57ED" w:rsidRPr="00B204B8" w:rsidRDefault="007C57ED" w:rsidP="007C57ED">
      <w:pPr>
        <w:autoSpaceDE w:val="0"/>
        <w:autoSpaceDN w:val="0"/>
        <w:adjustRightInd w:val="0"/>
        <w:ind w:firstLine="709"/>
        <w:jc w:val="both"/>
        <w:rPr>
          <w:sz w:val="28"/>
          <w:szCs w:val="28"/>
        </w:rPr>
      </w:pPr>
      <w:r w:rsidRPr="00B204B8">
        <w:rPr>
          <w:sz w:val="28"/>
          <w:szCs w:val="28"/>
        </w:rPr>
        <w:t>В рамках реализации комплекса мер по повышению конкурентоспособности экономики в регионе пересмотрена инвестиционная программа, ресурсы которой сконцентрированы на ранее начатых и приоритетных проектах, сохранен весь объем мер поддержки как для фермерских хозяйств и сельхозпредприятий, так и для жителей села, работающих в агропромышленном комплексе.</w:t>
      </w:r>
    </w:p>
    <w:p w:rsidR="007C57ED" w:rsidRPr="00B204B8" w:rsidRDefault="007C57ED" w:rsidP="007C57ED">
      <w:pPr>
        <w:autoSpaceDE w:val="0"/>
        <w:autoSpaceDN w:val="0"/>
        <w:adjustRightInd w:val="0"/>
        <w:ind w:firstLine="709"/>
        <w:jc w:val="both"/>
        <w:rPr>
          <w:sz w:val="28"/>
          <w:szCs w:val="28"/>
        </w:rPr>
      </w:pPr>
      <w:r w:rsidRPr="00B204B8">
        <w:rPr>
          <w:sz w:val="28"/>
          <w:szCs w:val="28"/>
        </w:rPr>
        <w:t>Еще одно важное направление – импортозамещение и государственная поддержка ключевых отраслей экономики. С 2014 года запущена  государственная программа «Развитие сельского хозяйства и регулирование рынков сельскохозяйственной продукции, сырья и продовольствия Камч</w:t>
      </w:r>
      <w:r w:rsidR="008E073D">
        <w:rPr>
          <w:sz w:val="28"/>
          <w:szCs w:val="28"/>
        </w:rPr>
        <w:t>атского края на 2014-2018 годы», в рамках которой осуществляется</w:t>
      </w:r>
      <w:r w:rsidRPr="00B204B8">
        <w:rPr>
          <w:sz w:val="28"/>
          <w:szCs w:val="28"/>
        </w:rPr>
        <w:t xml:space="preserve"> поддержка местных производителей.</w:t>
      </w:r>
    </w:p>
    <w:p w:rsidR="00BB78C7" w:rsidRPr="00B204B8" w:rsidRDefault="00BB78C7" w:rsidP="00BB78C7">
      <w:pPr>
        <w:widowControl w:val="0"/>
        <w:ind w:firstLine="709"/>
        <w:jc w:val="both"/>
        <w:rPr>
          <w:sz w:val="28"/>
          <w:szCs w:val="28"/>
        </w:rPr>
      </w:pPr>
    </w:p>
    <w:p w:rsidR="002606E7" w:rsidRPr="00B204B8" w:rsidRDefault="002606E7" w:rsidP="002606E7">
      <w:pPr>
        <w:spacing w:line="270" w:lineRule="atLeast"/>
        <w:ind w:firstLine="709"/>
        <w:jc w:val="both"/>
        <w:rPr>
          <w:b/>
          <w:bCs/>
          <w:i/>
          <w:iCs/>
          <w:sz w:val="28"/>
          <w:szCs w:val="28"/>
        </w:rPr>
      </w:pPr>
      <w:r w:rsidRPr="00B204B8">
        <w:rPr>
          <w:b/>
          <w:bCs/>
          <w:i/>
          <w:iCs/>
          <w:sz w:val="28"/>
          <w:szCs w:val="28"/>
        </w:rPr>
        <w:t xml:space="preserve">     Развитие малого и среднего предпринимательства</w:t>
      </w:r>
    </w:p>
    <w:p w:rsidR="008C4BC8" w:rsidRPr="00B204B8" w:rsidRDefault="008C4BC8" w:rsidP="008C4BC8">
      <w:pPr>
        <w:widowControl w:val="0"/>
        <w:ind w:left="567" w:firstLine="709"/>
        <w:rPr>
          <w:kern w:val="28"/>
          <w:highlight w:val="yellow"/>
        </w:rPr>
      </w:pPr>
    </w:p>
    <w:p w:rsidR="00C35BA9" w:rsidRPr="00B204B8" w:rsidRDefault="00C35BA9" w:rsidP="00C35BA9">
      <w:pPr>
        <w:autoSpaceDE w:val="0"/>
        <w:autoSpaceDN w:val="0"/>
        <w:adjustRightInd w:val="0"/>
        <w:ind w:firstLine="709"/>
        <w:jc w:val="both"/>
        <w:rPr>
          <w:sz w:val="28"/>
          <w:szCs w:val="28"/>
        </w:rPr>
      </w:pPr>
      <w:r w:rsidRPr="00B204B8">
        <w:rPr>
          <w:sz w:val="28"/>
          <w:szCs w:val="28"/>
        </w:rPr>
        <w:t>Развитие малого и среднего предпринимательства является одним из важнейших факторов развития и наращивания экономической базы Камчатского края. Этот сектор способен быстро осваивать наиболее перспективные сегменты рынка, принося доходы в бюджет и частично снимая проблему безработицы.</w:t>
      </w:r>
    </w:p>
    <w:p w:rsidR="00C35BA9" w:rsidRPr="00B204B8" w:rsidRDefault="00C35BA9" w:rsidP="00C35BA9">
      <w:pPr>
        <w:autoSpaceDE w:val="0"/>
        <w:autoSpaceDN w:val="0"/>
        <w:adjustRightInd w:val="0"/>
        <w:ind w:firstLine="709"/>
        <w:jc w:val="both"/>
        <w:rPr>
          <w:sz w:val="28"/>
          <w:szCs w:val="28"/>
        </w:rPr>
      </w:pPr>
      <w:r w:rsidRPr="00B204B8">
        <w:rPr>
          <w:sz w:val="28"/>
          <w:szCs w:val="28"/>
        </w:rPr>
        <w:t>В 2014 году количество  малых (включая микропредприятия) и средних предприятий, осуществляющих деятельность на территории Камчатского края</w:t>
      </w:r>
      <w:r w:rsidR="00C7701C">
        <w:rPr>
          <w:sz w:val="28"/>
          <w:szCs w:val="28"/>
        </w:rPr>
        <w:t>,</w:t>
      </w:r>
      <w:r w:rsidRPr="00B204B8">
        <w:rPr>
          <w:sz w:val="28"/>
          <w:szCs w:val="28"/>
        </w:rPr>
        <w:t xml:space="preserve"> составило 5 198 единиц (100,5 % к уровню 2013 года).</w:t>
      </w:r>
    </w:p>
    <w:p w:rsidR="00C35BA9" w:rsidRPr="00B204B8" w:rsidRDefault="00C35BA9" w:rsidP="00C35BA9">
      <w:pPr>
        <w:autoSpaceDE w:val="0"/>
        <w:autoSpaceDN w:val="0"/>
        <w:adjustRightInd w:val="0"/>
        <w:ind w:firstLine="709"/>
        <w:jc w:val="both"/>
        <w:rPr>
          <w:sz w:val="28"/>
          <w:szCs w:val="28"/>
        </w:rPr>
      </w:pPr>
      <w:r w:rsidRPr="00B204B8">
        <w:rPr>
          <w:sz w:val="28"/>
          <w:szCs w:val="28"/>
        </w:rPr>
        <w:lastRenderedPageBreak/>
        <w:t>Малый и средний бизнес создает благоприятные условия для развития конкурентной среды. Развитие малых предприятий ведет к насыщению рынка товарами и услугами,  использованию местных сырьевых ресурсов.</w:t>
      </w:r>
    </w:p>
    <w:p w:rsidR="00C35BA9" w:rsidRPr="00B204B8" w:rsidRDefault="00C35BA9" w:rsidP="00C35BA9">
      <w:pPr>
        <w:autoSpaceDE w:val="0"/>
        <w:autoSpaceDN w:val="0"/>
        <w:adjustRightInd w:val="0"/>
        <w:ind w:firstLine="709"/>
        <w:jc w:val="both"/>
        <w:rPr>
          <w:sz w:val="28"/>
          <w:szCs w:val="28"/>
        </w:rPr>
      </w:pPr>
      <w:r w:rsidRPr="00B204B8">
        <w:rPr>
          <w:sz w:val="28"/>
          <w:szCs w:val="28"/>
        </w:rPr>
        <w:t>Малый и средний бизнес в основном представлен в торгово-закупочных и рыбодобывающих отраслях экономики региона, в то же время в значительной мере занимает те позиции, которые приносят высокую добавленную стоимость и характеризуются быстрым оборотом средств. Непроизводственная сфера остается наиболее привлекательным видом деятельности.</w:t>
      </w:r>
    </w:p>
    <w:p w:rsidR="00C35BA9" w:rsidRPr="00B204B8" w:rsidRDefault="00C35BA9" w:rsidP="00C35BA9">
      <w:pPr>
        <w:autoSpaceDE w:val="0"/>
        <w:autoSpaceDN w:val="0"/>
        <w:adjustRightInd w:val="0"/>
        <w:ind w:firstLine="709"/>
        <w:jc w:val="both"/>
        <w:rPr>
          <w:sz w:val="28"/>
          <w:szCs w:val="28"/>
        </w:rPr>
      </w:pPr>
      <w:r w:rsidRPr="00B204B8">
        <w:rPr>
          <w:sz w:val="28"/>
          <w:szCs w:val="28"/>
        </w:rPr>
        <w:t>Так, наибольший удельный вес в общем количестве предприятий малого и среднего предпринимательства приходится на  оптовую и розничную торговлю, ремонт автотранспортных средств, мотоциклов, бытовых изделий и предметов личного пользования – 32,4 %  (1</w:t>
      </w:r>
      <w:r w:rsidR="00611EB9">
        <w:rPr>
          <w:sz w:val="28"/>
          <w:szCs w:val="28"/>
        </w:rPr>
        <w:t xml:space="preserve"> </w:t>
      </w:r>
      <w:r w:rsidRPr="00B204B8">
        <w:rPr>
          <w:sz w:val="28"/>
          <w:szCs w:val="28"/>
        </w:rPr>
        <w:t>684 единицы),  операции с недвижимым имуществом, аренду и предоставление услуг  - 17,7 % (918), строительство – 14,2</w:t>
      </w:r>
      <w:r w:rsidRPr="00B204B8">
        <w:rPr>
          <w:sz w:val="28"/>
          <w:szCs w:val="28"/>
          <w:lang w:val="en-US"/>
        </w:rPr>
        <w:t> </w:t>
      </w:r>
      <w:r w:rsidRPr="00B204B8">
        <w:rPr>
          <w:sz w:val="28"/>
          <w:szCs w:val="28"/>
        </w:rPr>
        <w:t>%  (740), обрабатывающие производства – 9,7</w:t>
      </w:r>
      <w:r w:rsidRPr="00B204B8">
        <w:rPr>
          <w:sz w:val="28"/>
          <w:szCs w:val="28"/>
          <w:lang w:val="en-US"/>
        </w:rPr>
        <w:t> </w:t>
      </w:r>
      <w:r w:rsidRPr="00B204B8">
        <w:rPr>
          <w:sz w:val="28"/>
          <w:szCs w:val="28"/>
        </w:rPr>
        <w:t>% (502), транспорт и связь – 8,2</w:t>
      </w:r>
      <w:r w:rsidRPr="00B204B8">
        <w:rPr>
          <w:sz w:val="28"/>
          <w:szCs w:val="28"/>
          <w:lang w:val="en-US"/>
        </w:rPr>
        <w:t> </w:t>
      </w:r>
      <w:r w:rsidRPr="00B204B8">
        <w:rPr>
          <w:sz w:val="28"/>
          <w:szCs w:val="28"/>
        </w:rPr>
        <w:t>% (428), рыболовство и рыбоводство – 5,4</w:t>
      </w:r>
      <w:r w:rsidRPr="00B204B8">
        <w:rPr>
          <w:sz w:val="28"/>
          <w:szCs w:val="28"/>
          <w:lang w:val="en-US"/>
        </w:rPr>
        <w:t> </w:t>
      </w:r>
      <w:r w:rsidRPr="00B204B8">
        <w:rPr>
          <w:sz w:val="28"/>
          <w:szCs w:val="28"/>
        </w:rPr>
        <w:t>% (283).</w:t>
      </w:r>
    </w:p>
    <w:p w:rsidR="00C35BA9" w:rsidRPr="00B204B8" w:rsidRDefault="00C35BA9" w:rsidP="00C35BA9">
      <w:pPr>
        <w:autoSpaceDE w:val="0"/>
        <w:autoSpaceDN w:val="0"/>
        <w:adjustRightInd w:val="0"/>
        <w:ind w:firstLine="709"/>
        <w:jc w:val="both"/>
        <w:rPr>
          <w:sz w:val="28"/>
          <w:szCs w:val="28"/>
        </w:rPr>
      </w:pPr>
      <w:r w:rsidRPr="00B204B8">
        <w:rPr>
          <w:sz w:val="28"/>
          <w:szCs w:val="28"/>
        </w:rPr>
        <w:t xml:space="preserve">В 2014 году средняя численность работников, занятых на постоянной основе в малом (с учетом микропредприятий) и среднем бизнесе, составила 30,95 тыс. человек. Доля среднесписочной численности работников (без внешних совместителей) малых (с учетом микропредприятий) и средних предприятий в среднесписочной численности работников (без внешних совместителей) всех предприятий и организаций составила 24,9 %. На условиях совместительства, договоров подряда и других договоров гражданско-правового характера на малые (с учетом микропредприятий) и средние предприятия привлечено 1,9 тыс. человек. </w:t>
      </w:r>
    </w:p>
    <w:p w:rsidR="00C35BA9" w:rsidRPr="00B204B8" w:rsidRDefault="00C35BA9" w:rsidP="00C35BA9">
      <w:pPr>
        <w:autoSpaceDE w:val="0"/>
        <w:autoSpaceDN w:val="0"/>
        <w:adjustRightInd w:val="0"/>
        <w:ind w:firstLine="709"/>
        <w:jc w:val="both"/>
        <w:rPr>
          <w:sz w:val="28"/>
          <w:szCs w:val="28"/>
        </w:rPr>
      </w:pPr>
      <w:r w:rsidRPr="00B204B8">
        <w:rPr>
          <w:sz w:val="28"/>
          <w:szCs w:val="28"/>
        </w:rPr>
        <w:t xml:space="preserve">Малый бизнес характеризуется небольшой средней численностью работников, занятых на одном предприятии. В 2014 году на одном малом предприятии (включая микропредприятия) в Камчатском крае в среднем постоянно работало 5  человек. </w:t>
      </w:r>
    </w:p>
    <w:p w:rsidR="00C35BA9" w:rsidRPr="00B204B8" w:rsidRDefault="00C35BA9" w:rsidP="00C35BA9">
      <w:pPr>
        <w:autoSpaceDE w:val="0"/>
        <w:autoSpaceDN w:val="0"/>
        <w:adjustRightInd w:val="0"/>
        <w:ind w:firstLine="709"/>
        <w:jc w:val="both"/>
        <w:rPr>
          <w:sz w:val="28"/>
          <w:szCs w:val="28"/>
        </w:rPr>
      </w:pPr>
      <w:r w:rsidRPr="00B204B8">
        <w:rPr>
          <w:sz w:val="28"/>
          <w:szCs w:val="28"/>
        </w:rPr>
        <w:t>В 2014 году продолжилась тенденция к увеличению объемов оборота малых (включая микропредприятия) и средних предприятий, по сравнению с показателем 2013 года оборот вырос на 3,4</w:t>
      </w:r>
      <w:r w:rsidR="00611EB9">
        <w:rPr>
          <w:sz w:val="28"/>
          <w:szCs w:val="28"/>
        </w:rPr>
        <w:t xml:space="preserve"> </w:t>
      </w:r>
      <w:r w:rsidRPr="00B204B8">
        <w:rPr>
          <w:sz w:val="28"/>
          <w:szCs w:val="28"/>
        </w:rPr>
        <w:t>% и составил 86 972,5 млн рублей.</w:t>
      </w:r>
    </w:p>
    <w:p w:rsidR="00C35BA9" w:rsidRPr="00B204B8" w:rsidRDefault="00C35BA9" w:rsidP="00C35BA9">
      <w:pPr>
        <w:autoSpaceDE w:val="0"/>
        <w:autoSpaceDN w:val="0"/>
        <w:adjustRightInd w:val="0"/>
        <w:ind w:firstLine="709"/>
        <w:jc w:val="both"/>
        <w:rPr>
          <w:sz w:val="28"/>
          <w:szCs w:val="28"/>
        </w:rPr>
      </w:pPr>
      <w:r w:rsidRPr="00B204B8">
        <w:rPr>
          <w:sz w:val="28"/>
          <w:szCs w:val="28"/>
        </w:rPr>
        <w:t>В отчетном году доля оборота малых (включая микропредприятия)  и средних предприятий в объеме оборота организаций всех видов экономической деятельности Камчатского края составила 44,0</w:t>
      </w:r>
      <w:r w:rsidR="00BE4026">
        <w:rPr>
          <w:sz w:val="28"/>
          <w:szCs w:val="28"/>
        </w:rPr>
        <w:t xml:space="preserve"> </w:t>
      </w:r>
      <w:r w:rsidRPr="00B204B8">
        <w:rPr>
          <w:sz w:val="28"/>
          <w:szCs w:val="28"/>
        </w:rPr>
        <w:t>%.</w:t>
      </w:r>
    </w:p>
    <w:p w:rsidR="00C35BA9" w:rsidRPr="00B204B8" w:rsidRDefault="00C35BA9" w:rsidP="00C35BA9">
      <w:pPr>
        <w:autoSpaceDE w:val="0"/>
        <w:autoSpaceDN w:val="0"/>
        <w:adjustRightInd w:val="0"/>
        <w:ind w:firstLine="709"/>
        <w:jc w:val="both"/>
        <w:rPr>
          <w:sz w:val="28"/>
          <w:szCs w:val="28"/>
        </w:rPr>
      </w:pPr>
      <w:r w:rsidRPr="00B204B8">
        <w:rPr>
          <w:sz w:val="28"/>
          <w:szCs w:val="28"/>
        </w:rPr>
        <w:t>На развитие малого бизнеса значительное влияние оказывает индивидуальное предпринимательство. По состоянию на 1 января 2015 года на учете в составе Статрегистра зарегистрировано 12 215 индивидуальных предпринимателей (100,8</w:t>
      </w:r>
      <w:r w:rsidR="004F6338">
        <w:rPr>
          <w:sz w:val="28"/>
          <w:szCs w:val="28"/>
        </w:rPr>
        <w:t xml:space="preserve"> </w:t>
      </w:r>
      <w:r w:rsidRPr="00B204B8">
        <w:rPr>
          <w:sz w:val="28"/>
          <w:szCs w:val="28"/>
        </w:rPr>
        <w:t>% по сравнению с уровнем 2013 года), большая часть которых территориально сосредоточена в г. Петропавловске-Камчатском (65,7</w:t>
      </w:r>
      <w:r w:rsidRPr="00B204B8">
        <w:rPr>
          <w:sz w:val="28"/>
          <w:szCs w:val="28"/>
          <w:lang w:val="en-US"/>
        </w:rPr>
        <w:t> </w:t>
      </w:r>
      <w:r w:rsidRPr="00B204B8">
        <w:rPr>
          <w:sz w:val="28"/>
          <w:szCs w:val="28"/>
        </w:rPr>
        <w:t>% или 8</w:t>
      </w:r>
      <w:r w:rsidR="004F6338">
        <w:rPr>
          <w:sz w:val="28"/>
          <w:szCs w:val="28"/>
        </w:rPr>
        <w:t xml:space="preserve"> </w:t>
      </w:r>
      <w:r w:rsidRPr="00B204B8">
        <w:rPr>
          <w:sz w:val="28"/>
          <w:szCs w:val="28"/>
        </w:rPr>
        <w:t xml:space="preserve">022  индивидуальных предпринимателей), в </w:t>
      </w:r>
      <w:r w:rsidRPr="00B204B8">
        <w:rPr>
          <w:sz w:val="28"/>
          <w:szCs w:val="28"/>
        </w:rPr>
        <w:lastRenderedPageBreak/>
        <w:t>Елиз</w:t>
      </w:r>
      <w:r w:rsidR="004F6338">
        <w:rPr>
          <w:sz w:val="28"/>
          <w:szCs w:val="28"/>
        </w:rPr>
        <w:t xml:space="preserve">овском муниципальном районе (19 </w:t>
      </w:r>
      <w:r w:rsidRPr="00B204B8">
        <w:rPr>
          <w:sz w:val="28"/>
          <w:szCs w:val="28"/>
        </w:rPr>
        <w:t>% - 2</w:t>
      </w:r>
      <w:r w:rsidR="004F6338">
        <w:rPr>
          <w:sz w:val="28"/>
          <w:szCs w:val="28"/>
        </w:rPr>
        <w:t xml:space="preserve"> </w:t>
      </w:r>
      <w:r w:rsidRPr="00B204B8">
        <w:rPr>
          <w:sz w:val="28"/>
          <w:szCs w:val="28"/>
        </w:rPr>
        <w:t xml:space="preserve">389 индивидуальных предпринимателей). </w:t>
      </w:r>
    </w:p>
    <w:p w:rsidR="00C35BA9" w:rsidRPr="00B204B8" w:rsidRDefault="00C35BA9" w:rsidP="00C35BA9">
      <w:pPr>
        <w:autoSpaceDE w:val="0"/>
        <w:autoSpaceDN w:val="0"/>
        <w:adjustRightInd w:val="0"/>
        <w:ind w:firstLine="709"/>
        <w:jc w:val="both"/>
        <w:rPr>
          <w:sz w:val="28"/>
          <w:szCs w:val="28"/>
        </w:rPr>
      </w:pPr>
      <w:r w:rsidRPr="00B204B8">
        <w:rPr>
          <w:sz w:val="28"/>
          <w:szCs w:val="28"/>
        </w:rPr>
        <w:t>Объем инвестиций в 2014 году составил 25</w:t>
      </w:r>
      <w:r w:rsidRPr="00B204B8">
        <w:rPr>
          <w:sz w:val="28"/>
          <w:szCs w:val="28"/>
          <w:lang w:val="en-US"/>
        </w:rPr>
        <w:t> </w:t>
      </w:r>
      <w:r w:rsidRPr="00B204B8">
        <w:rPr>
          <w:sz w:val="28"/>
          <w:szCs w:val="28"/>
        </w:rPr>
        <w:t>198,9 млн рублей, что ниже уровня прошлого года на 7</w:t>
      </w:r>
      <w:r w:rsidRPr="00B204B8">
        <w:rPr>
          <w:sz w:val="28"/>
          <w:szCs w:val="28"/>
          <w:lang w:val="en-US"/>
        </w:rPr>
        <w:t> </w:t>
      </w:r>
      <w:r w:rsidRPr="00B204B8">
        <w:rPr>
          <w:sz w:val="28"/>
          <w:szCs w:val="28"/>
        </w:rPr>
        <w:t>509,3 млн рублей. Индекс физического объема инвестиций в основной капитал по итогам отчетного года составил 69,9</w:t>
      </w:r>
      <w:r w:rsidR="004F6338">
        <w:rPr>
          <w:sz w:val="28"/>
          <w:szCs w:val="28"/>
        </w:rPr>
        <w:t xml:space="preserve"> </w:t>
      </w:r>
      <w:r w:rsidRPr="00B204B8">
        <w:rPr>
          <w:sz w:val="28"/>
          <w:szCs w:val="28"/>
        </w:rPr>
        <w:t>%.</w:t>
      </w:r>
    </w:p>
    <w:p w:rsidR="00F07424" w:rsidRDefault="00C35BA9" w:rsidP="00C35BA9">
      <w:pPr>
        <w:autoSpaceDE w:val="0"/>
        <w:autoSpaceDN w:val="0"/>
        <w:adjustRightInd w:val="0"/>
        <w:ind w:firstLine="709"/>
        <w:jc w:val="both"/>
        <w:rPr>
          <w:sz w:val="28"/>
          <w:szCs w:val="28"/>
        </w:rPr>
      </w:pPr>
      <w:r w:rsidRPr="00B204B8">
        <w:rPr>
          <w:sz w:val="28"/>
          <w:szCs w:val="28"/>
        </w:rPr>
        <w:t>Падение объема инвестиций в основной капитал в 2014 году обусловлено</w:t>
      </w:r>
      <w:r w:rsidR="00266145">
        <w:rPr>
          <w:sz w:val="28"/>
          <w:szCs w:val="28"/>
        </w:rPr>
        <w:t xml:space="preserve"> завершением базовой части стратегических инвестиционных проектов по развитию транспортной инфраструктуры, повышению степени переработки уловов на береговых перерабатывающих предпри</w:t>
      </w:r>
      <w:r w:rsidR="009930F4">
        <w:rPr>
          <w:sz w:val="28"/>
          <w:szCs w:val="28"/>
        </w:rPr>
        <w:t>ятиях, переводу региональной энергетики на местный природный газ.</w:t>
      </w:r>
      <w:r w:rsidR="00CD65C1">
        <w:rPr>
          <w:sz w:val="28"/>
          <w:szCs w:val="28"/>
        </w:rPr>
        <w:t xml:space="preserve"> </w:t>
      </w:r>
    </w:p>
    <w:p w:rsidR="00C35BA9" w:rsidRPr="00B204B8" w:rsidRDefault="00C35BA9" w:rsidP="00C35BA9">
      <w:pPr>
        <w:autoSpaceDE w:val="0"/>
        <w:autoSpaceDN w:val="0"/>
        <w:adjustRightInd w:val="0"/>
        <w:ind w:firstLine="709"/>
        <w:jc w:val="both"/>
        <w:rPr>
          <w:sz w:val="28"/>
          <w:szCs w:val="28"/>
        </w:rPr>
      </w:pPr>
      <w:r w:rsidRPr="00B204B8">
        <w:rPr>
          <w:sz w:val="28"/>
          <w:szCs w:val="28"/>
        </w:rPr>
        <w:t>В структуре инвестиций в основной капитал по видам экономической деятельности в 2014 году наибольшая доля инвестиций направлялась на развитие предприятий строительства – 1</w:t>
      </w:r>
      <w:r w:rsidR="004F6338">
        <w:rPr>
          <w:sz w:val="28"/>
          <w:szCs w:val="28"/>
        </w:rPr>
        <w:t xml:space="preserve"> </w:t>
      </w:r>
      <w:r w:rsidRPr="00B204B8">
        <w:rPr>
          <w:sz w:val="28"/>
          <w:szCs w:val="28"/>
        </w:rPr>
        <w:t>227,4 млн рублей, обрабатывающих производств – 1</w:t>
      </w:r>
      <w:r w:rsidR="004F6338">
        <w:rPr>
          <w:sz w:val="28"/>
          <w:szCs w:val="28"/>
        </w:rPr>
        <w:t xml:space="preserve"> </w:t>
      </w:r>
      <w:r w:rsidRPr="00B204B8">
        <w:rPr>
          <w:sz w:val="28"/>
          <w:szCs w:val="28"/>
        </w:rPr>
        <w:t>105,4 млн рублей, рыболовства и  рыбоводства  - 654,2 млн рублей, оптовой и розничной торговли – 527,8 млн рублей.</w:t>
      </w:r>
    </w:p>
    <w:p w:rsidR="00C35BA9" w:rsidRPr="00B204B8" w:rsidRDefault="00C35BA9" w:rsidP="00C35BA9">
      <w:pPr>
        <w:autoSpaceDE w:val="0"/>
        <w:autoSpaceDN w:val="0"/>
        <w:adjustRightInd w:val="0"/>
        <w:ind w:firstLine="709"/>
        <w:jc w:val="both"/>
        <w:rPr>
          <w:sz w:val="28"/>
          <w:szCs w:val="28"/>
        </w:rPr>
      </w:pPr>
      <w:r w:rsidRPr="00B204B8">
        <w:rPr>
          <w:sz w:val="28"/>
          <w:szCs w:val="28"/>
        </w:rPr>
        <w:t>В расчете на одного жителя  объем инвестиций в основной капитал (за исключением бюджетных средств) в муниципальных районах и городских округах</w:t>
      </w:r>
      <w:r w:rsidR="004F6338">
        <w:rPr>
          <w:sz w:val="28"/>
          <w:szCs w:val="28"/>
        </w:rPr>
        <w:t xml:space="preserve"> в</w:t>
      </w:r>
      <w:r w:rsidRPr="00B204B8">
        <w:rPr>
          <w:sz w:val="28"/>
          <w:szCs w:val="28"/>
        </w:rPr>
        <w:t xml:space="preserve"> Камчатско</w:t>
      </w:r>
      <w:r w:rsidR="004F6338">
        <w:rPr>
          <w:sz w:val="28"/>
          <w:szCs w:val="28"/>
        </w:rPr>
        <w:t>м</w:t>
      </w:r>
      <w:r w:rsidRPr="00B204B8">
        <w:rPr>
          <w:sz w:val="28"/>
          <w:szCs w:val="28"/>
        </w:rPr>
        <w:t xml:space="preserve"> кра</w:t>
      </w:r>
      <w:r w:rsidR="007D0850">
        <w:rPr>
          <w:sz w:val="28"/>
          <w:szCs w:val="28"/>
        </w:rPr>
        <w:t>е</w:t>
      </w:r>
      <w:r w:rsidRPr="00B204B8">
        <w:rPr>
          <w:sz w:val="28"/>
          <w:szCs w:val="28"/>
        </w:rPr>
        <w:t xml:space="preserve"> в 2014 году составил: </w:t>
      </w:r>
    </w:p>
    <w:p w:rsidR="00AE4726" w:rsidRPr="00B204B8" w:rsidRDefault="00AE4726" w:rsidP="00C35BA9">
      <w:pPr>
        <w:autoSpaceDE w:val="0"/>
        <w:autoSpaceDN w:val="0"/>
        <w:adjustRightInd w:val="0"/>
        <w:ind w:firstLine="709"/>
        <w:jc w:val="both"/>
        <w:rPr>
          <w:sz w:val="28"/>
          <w:szCs w:val="28"/>
        </w:rPr>
      </w:pPr>
    </w:p>
    <w:tbl>
      <w:tblPr>
        <w:tblStyle w:val="ad"/>
        <w:tblW w:w="0" w:type="auto"/>
        <w:tblLook w:val="01E0" w:firstRow="1" w:lastRow="1" w:firstColumn="1" w:lastColumn="1" w:noHBand="0" w:noVBand="0"/>
      </w:tblPr>
      <w:tblGrid>
        <w:gridCol w:w="3212"/>
        <w:gridCol w:w="3172"/>
        <w:gridCol w:w="3187"/>
      </w:tblGrid>
      <w:tr w:rsidR="00B204B8" w:rsidRPr="00B204B8" w:rsidTr="001C7CE6">
        <w:tc>
          <w:tcPr>
            <w:tcW w:w="3301" w:type="dxa"/>
          </w:tcPr>
          <w:p w:rsidR="00C35BA9" w:rsidRPr="00B204B8" w:rsidRDefault="00C35BA9" w:rsidP="00B204B8">
            <w:pPr>
              <w:autoSpaceDE w:val="0"/>
              <w:autoSpaceDN w:val="0"/>
              <w:adjustRightInd w:val="0"/>
              <w:jc w:val="center"/>
              <w:rPr>
                <w:sz w:val="26"/>
                <w:szCs w:val="26"/>
              </w:rPr>
            </w:pPr>
            <w:r w:rsidRPr="00B204B8">
              <w:rPr>
                <w:sz w:val="26"/>
                <w:szCs w:val="26"/>
              </w:rPr>
              <w:t>Камчатский край</w:t>
            </w:r>
          </w:p>
        </w:tc>
        <w:tc>
          <w:tcPr>
            <w:tcW w:w="3302" w:type="dxa"/>
          </w:tcPr>
          <w:p w:rsidR="00C35BA9" w:rsidRPr="00B204B8" w:rsidRDefault="00C35BA9" w:rsidP="00B204B8">
            <w:pPr>
              <w:autoSpaceDE w:val="0"/>
              <w:autoSpaceDN w:val="0"/>
              <w:adjustRightInd w:val="0"/>
              <w:jc w:val="center"/>
              <w:rPr>
                <w:sz w:val="26"/>
                <w:szCs w:val="26"/>
              </w:rPr>
            </w:pPr>
            <w:r w:rsidRPr="00B204B8">
              <w:rPr>
                <w:sz w:val="26"/>
                <w:szCs w:val="26"/>
              </w:rPr>
              <w:t>2014 год</w:t>
            </w:r>
            <w:r w:rsidR="001E0F1F" w:rsidRPr="00B204B8">
              <w:rPr>
                <w:sz w:val="26"/>
                <w:szCs w:val="26"/>
              </w:rPr>
              <w:t>,</w:t>
            </w:r>
          </w:p>
          <w:p w:rsidR="00AE4726" w:rsidRPr="00B204B8" w:rsidRDefault="001E0F1F" w:rsidP="00B204B8">
            <w:pPr>
              <w:autoSpaceDE w:val="0"/>
              <w:autoSpaceDN w:val="0"/>
              <w:adjustRightInd w:val="0"/>
              <w:jc w:val="center"/>
              <w:rPr>
                <w:sz w:val="26"/>
                <w:szCs w:val="26"/>
              </w:rPr>
            </w:pPr>
            <w:r w:rsidRPr="00B204B8">
              <w:rPr>
                <w:sz w:val="26"/>
                <w:szCs w:val="26"/>
              </w:rPr>
              <w:t xml:space="preserve">в </w:t>
            </w:r>
            <w:r w:rsidR="00AE4726" w:rsidRPr="00B204B8">
              <w:rPr>
                <w:sz w:val="26"/>
                <w:szCs w:val="26"/>
              </w:rPr>
              <w:t>рубл</w:t>
            </w:r>
            <w:r w:rsidRPr="00B204B8">
              <w:rPr>
                <w:sz w:val="26"/>
                <w:szCs w:val="26"/>
              </w:rPr>
              <w:t>ях</w:t>
            </w:r>
          </w:p>
        </w:tc>
        <w:tc>
          <w:tcPr>
            <w:tcW w:w="3302" w:type="dxa"/>
          </w:tcPr>
          <w:p w:rsidR="00C35BA9" w:rsidRPr="00B204B8" w:rsidRDefault="00C35BA9" w:rsidP="00B204B8">
            <w:pPr>
              <w:autoSpaceDE w:val="0"/>
              <w:autoSpaceDN w:val="0"/>
              <w:adjustRightInd w:val="0"/>
              <w:jc w:val="center"/>
              <w:rPr>
                <w:sz w:val="26"/>
                <w:szCs w:val="26"/>
              </w:rPr>
            </w:pPr>
            <w:r w:rsidRPr="00B204B8">
              <w:rPr>
                <w:sz w:val="26"/>
                <w:szCs w:val="26"/>
              </w:rPr>
              <w:t>2013 год (справочно)</w:t>
            </w:r>
            <w:r w:rsidR="001E0F1F" w:rsidRPr="00B204B8">
              <w:rPr>
                <w:sz w:val="26"/>
                <w:szCs w:val="26"/>
              </w:rPr>
              <w:t>,</w:t>
            </w:r>
          </w:p>
          <w:p w:rsidR="00AE4726" w:rsidRPr="00B204B8" w:rsidRDefault="001E0F1F" w:rsidP="00B204B8">
            <w:pPr>
              <w:autoSpaceDE w:val="0"/>
              <w:autoSpaceDN w:val="0"/>
              <w:adjustRightInd w:val="0"/>
              <w:jc w:val="center"/>
              <w:rPr>
                <w:sz w:val="26"/>
                <w:szCs w:val="26"/>
              </w:rPr>
            </w:pPr>
            <w:r w:rsidRPr="00B204B8">
              <w:rPr>
                <w:sz w:val="26"/>
                <w:szCs w:val="26"/>
              </w:rPr>
              <w:t xml:space="preserve">в </w:t>
            </w:r>
            <w:r w:rsidR="00AE4726" w:rsidRPr="00B204B8">
              <w:rPr>
                <w:sz w:val="26"/>
                <w:szCs w:val="26"/>
              </w:rPr>
              <w:t>рубл</w:t>
            </w:r>
            <w:r w:rsidRPr="00B204B8">
              <w:rPr>
                <w:sz w:val="26"/>
                <w:szCs w:val="26"/>
              </w:rPr>
              <w:t>ях</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городские округа:</w:t>
            </w:r>
          </w:p>
        </w:tc>
        <w:tc>
          <w:tcPr>
            <w:tcW w:w="6604" w:type="dxa"/>
            <w:gridSpan w:val="2"/>
          </w:tcPr>
          <w:p w:rsidR="00C35BA9" w:rsidRPr="00B204B8" w:rsidRDefault="00C35BA9" w:rsidP="001C7CE6">
            <w:pPr>
              <w:autoSpaceDE w:val="0"/>
              <w:autoSpaceDN w:val="0"/>
              <w:adjustRightInd w:val="0"/>
              <w:jc w:val="both"/>
              <w:rPr>
                <w:sz w:val="26"/>
                <w:szCs w:val="26"/>
              </w:rPr>
            </w:pPr>
            <w:r w:rsidRPr="00B204B8">
              <w:rPr>
                <w:sz w:val="26"/>
                <w:szCs w:val="26"/>
              </w:rPr>
              <w:t xml:space="preserve">   </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Петропавловск-Камчатский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33</w:t>
            </w:r>
            <w:r w:rsidRPr="00B204B8">
              <w:rPr>
                <w:sz w:val="26"/>
                <w:szCs w:val="26"/>
                <w:lang w:val="en-US"/>
              </w:rPr>
              <w:t> </w:t>
            </w:r>
            <w:r w:rsidRPr="00B204B8">
              <w:rPr>
                <w:sz w:val="26"/>
                <w:szCs w:val="26"/>
              </w:rPr>
              <w:t>155,00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45</w:t>
            </w:r>
            <w:r w:rsidRPr="00B204B8">
              <w:rPr>
                <w:sz w:val="26"/>
                <w:szCs w:val="26"/>
                <w:lang w:val="en-US"/>
              </w:rPr>
              <w:t> </w:t>
            </w:r>
            <w:r w:rsidRPr="00B204B8">
              <w:rPr>
                <w:sz w:val="26"/>
                <w:szCs w:val="26"/>
              </w:rPr>
              <w:t>464,00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п. Палана</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5</w:t>
            </w:r>
            <w:r w:rsidRPr="00B204B8">
              <w:rPr>
                <w:sz w:val="26"/>
                <w:szCs w:val="26"/>
                <w:lang w:val="en-US"/>
              </w:rPr>
              <w:t> </w:t>
            </w:r>
            <w:r w:rsidRPr="00B204B8">
              <w:rPr>
                <w:sz w:val="26"/>
                <w:szCs w:val="26"/>
              </w:rPr>
              <w:t>145,00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16</w:t>
            </w:r>
            <w:r w:rsidRPr="00B204B8">
              <w:rPr>
                <w:sz w:val="26"/>
                <w:szCs w:val="26"/>
                <w:lang w:val="en-US"/>
              </w:rPr>
              <w:t> </w:t>
            </w:r>
            <w:r w:rsidRPr="00B204B8">
              <w:rPr>
                <w:sz w:val="26"/>
                <w:szCs w:val="26"/>
              </w:rPr>
              <w:t>711,00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Вилючинский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w:t>
            </w:r>
            <w:r w:rsidRPr="00B204B8">
              <w:rPr>
                <w:sz w:val="26"/>
                <w:szCs w:val="26"/>
                <w:lang w:val="en-US"/>
              </w:rPr>
              <w:t> </w:t>
            </w:r>
            <w:r w:rsidRPr="00B204B8">
              <w:rPr>
                <w:sz w:val="26"/>
                <w:szCs w:val="26"/>
              </w:rPr>
              <w:t>712,00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w:t>
            </w:r>
            <w:r w:rsidRPr="00B204B8">
              <w:rPr>
                <w:sz w:val="26"/>
                <w:szCs w:val="26"/>
                <w:lang w:val="en-US"/>
              </w:rPr>
              <w:t> </w:t>
            </w:r>
            <w:r w:rsidRPr="00B204B8">
              <w:rPr>
                <w:sz w:val="26"/>
                <w:szCs w:val="26"/>
              </w:rPr>
              <w:t>463,00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муниципальные районы:</w:t>
            </w:r>
          </w:p>
        </w:tc>
        <w:tc>
          <w:tcPr>
            <w:tcW w:w="6604" w:type="dxa"/>
            <w:gridSpan w:val="2"/>
          </w:tcPr>
          <w:p w:rsidR="00C35BA9" w:rsidRPr="00B204B8" w:rsidRDefault="00C35BA9" w:rsidP="00B204B8">
            <w:pPr>
              <w:autoSpaceDE w:val="0"/>
              <w:autoSpaceDN w:val="0"/>
              <w:adjustRightInd w:val="0"/>
              <w:rPr>
                <w:sz w:val="26"/>
                <w:szCs w:val="26"/>
              </w:rPr>
            </w:pP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Быстринский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296</w:t>
            </w:r>
            <w:r w:rsidRPr="00B204B8">
              <w:rPr>
                <w:sz w:val="26"/>
                <w:szCs w:val="26"/>
                <w:lang w:val="en-US"/>
              </w:rPr>
              <w:t> </w:t>
            </w:r>
            <w:r w:rsidRPr="00B204B8">
              <w:rPr>
                <w:sz w:val="26"/>
                <w:szCs w:val="26"/>
              </w:rPr>
              <w:t>090,00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103</w:t>
            </w:r>
            <w:r w:rsidRPr="00B204B8">
              <w:rPr>
                <w:sz w:val="26"/>
                <w:szCs w:val="26"/>
                <w:lang w:val="en-US"/>
              </w:rPr>
              <w:t> </w:t>
            </w:r>
            <w:r w:rsidRPr="00B204B8">
              <w:rPr>
                <w:sz w:val="26"/>
                <w:szCs w:val="26"/>
              </w:rPr>
              <w:t>440,00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Соболевский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81</w:t>
            </w:r>
            <w:r w:rsidRPr="00B204B8">
              <w:rPr>
                <w:sz w:val="26"/>
                <w:szCs w:val="26"/>
                <w:lang w:val="en-US"/>
              </w:rPr>
              <w:t> </w:t>
            </w:r>
            <w:r w:rsidRPr="00B204B8">
              <w:rPr>
                <w:sz w:val="26"/>
                <w:szCs w:val="26"/>
              </w:rPr>
              <w:t>706,00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2</w:t>
            </w:r>
            <w:r w:rsidRPr="00B204B8">
              <w:rPr>
                <w:sz w:val="26"/>
                <w:szCs w:val="26"/>
                <w:lang w:val="en-US"/>
              </w:rPr>
              <w:t> </w:t>
            </w:r>
            <w:r w:rsidRPr="00B204B8">
              <w:rPr>
                <w:sz w:val="26"/>
                <w:szCs w:val="26"/>
              </w:rPr>
              <w:t>736,00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Усть-Большерецкий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76</w:t>
            </w:r>
            <w:r w:rsidRPr="00B204B8">
              <w:rPr>
                <w:sz w:val="26"/>
                <w:szCs w:val="26"/>
                <w:lang w:val="en-US"/>
              </w:rPr>
              <w:t> </w:t>
            </w:r>
            <w:r w:rsidRPr="00B204B8">
              <w:rPr>
                <w:sz w:val="26"/>
                <w:szCs w:val="26"/>
              </w:rPr>
              <w:t>967,00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194</w:t>
            </w:r>
            <w:r w:rsidRPr="00B204B8">
              <w:rPr>
                <w:sz w:val="26"/>
                <w:szCs w:val="26"/>
                <w:lang w:val="en-US"/>
              </w:rPr>
              <w:t> </w:t>
            </w:r>
            <w:r w:rsidRPr="00B204B8">
              <w:rPr>
                <w:sz w:val="26"/>
                <w:szCs w:val="26"/>
              </w:rPr>
              <w:t>117,00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Карагинский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60</w:t>
            </w:r>
            <w:r w:rsidRPr="00B204B8">
              <w:rPr>
                <w:sz w:val="26"/>
                <w:szCs w:val="26"/>
                <w:lang w:val="en-US"/>
              </w:rPr>
              <w:t> </w:t>
            </w:r>
            <w:r w:rsidRPr="00B204B8">
              <w:rPr>
                <w:sz w:val="26"/>
                <w:szCs w:val="26"/>
              </w:rPr>
              <w:t>835,00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246</w:t>
            </w:r>
            <w:r w:rsidRPr="00B204B8">
              <w:rPr>
                <w:sz w:val="26"/>
                <w:szCs w:val="26"/>
                <w:lang w:val="en-US"/>
              </w:rPr>
              <w:t> </w:t>
            </w:r>
            <w:r w:rsidRPr="00B204B8">
              <w:rPr>
                <w:sz w:val="26"/>
                <w:szCs w:val="26"/>
              </w:rPr>
              <w:t>381,00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Олюторский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17</w:t>
            </w:r>
            <w:r w:rsidRPr="00B204B8">
              <w:rPr>
                <w:sz w:val="26"/>
                <w:szCs w:val="26"/>
                <w:lang w:val="en-US"/>
              </w:rPr>
              <w:t> </w:t>
            </w:r>
            <w:r w:rsidRPr="00B204B8">
              <w:rPr>
                <w:sz w:val="26"/>
                <w:szCs w:val="26"/>
              </w:rPr>
              <w:t>593,00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10</w:t>
            </w:r>
            <w:r w:rsidRPr="00B204B8">
              <w:rPr>
                <w:sz w:val="26"/>
                <w:szCs w:val="26"/>
                <w:lang w:val="en-US"/>
              </w:rPr>
              <w:t> </w:t>
            </w:r>
            <w:r w:rsidRPr="00B204B8">
              <w:rPr>
                <w:sz w:val="26"/>
                <w:szCs w:val="26"/>
              </w:rPr>
              <w:t>933,00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Елизовский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14</w:t>
            </w:r>
            <w:r w:rsidRPr="00B204B8">
              <w:rPr>
                <w:sz w:val="26"/>
                <w:szCs w:val="26"/>
                <w:lang w:val="en-US"/>
              </w:rPr>
              <w:t> </w:t>
            </w:r>
            <w:r w:rsidRPr="00B204B8">
              <w:rPr>
                <w:sz w:val="26"/>
                <w:szCs w:val="26"/>
              </w:rPr>
              <w:t>133,00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8</w:t>
            </w:r>
            <w:r w:rsidRPr="00B204B8">
              <w:rPr>
                <w:sz w:val="26"/>
                <w:szCs w:val="26"/>
                <w:lang w:val="en-US"/>
              </w:rPr>
              <w:t> </w:t>
            </w:r>
            <w:r w:rsidRPr="00B204B8">
              <w:rPr>
                <w:sz w:val="26"/>
                <w:szCs w:val="26"/>
              </w:rPr>
              <w:t>754,00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Тигильский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w:t>
            </w:r>
            <w:r w:rsidRPr="00B204B8">
              <w:rPr>
                <w:sz w:val="26"/>
                <w:szCs w:val="26"/>
                <w:lang w:val="en-US"/>
              </w:rPr>
              <w:t> </w:t>
            </w:r>
            <w:r w:rsidRPr="00B204B8">
              <w:rPr>
                <w:sz w:val="26"/>
                <w:szCs w:val="26"/>
              </w:rPr>
              <w:t>760,00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4</w:t>
            </w:r>
            <w:r w:rsidRPr="00B204B8">
              <w:rPr>
                <w:sz w:val="26"/>
                <w:szCs w:val="26"/>
                <w:lang w:val="en-US"/>
              </w:rPr>
              <w:t> </w:t>
            </w:r>
            <w:r w:rsidRPr="00B204B8">
              <w:rPr>
                <w:sz w:val="26"/>
                <w:szCs w:val="26"/>
              </w:rPr>
              <w:t>879,00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Усть-Камчатский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w:t>
            </w:r>
            <w:r w:rsidRPr="00B204B8">
              <w:rPr>
                <w:sz w:val="26"/>
                <w:szCs w:val="26"/>
                <w:lang w:val="en-US"/>
              </w:rPr>
              <w:t> </w:t>
            </w:r>
            <w:r w:rsidRPr="00B204B8">
              <w:rPr>
                <w:sz w:val="26"/>
                <w:szCs w:val="26"/>
              </w:rPr>
              <w:t>232,00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12</w:t>
            </w:r>
            <w:r w:rsidRPr="00B204B8">
              <w:rPr>
                <w:sz w:val="26"/>
                <w:szCs w:val="26"/>
                <w:lang w:val="en-US"/>
              </w:rPr>
              <w:t> </w:t>
            </w:r>
            <w:r w:rsidRPr="00B204B8">
              <w:rPr>
                <w:sz w:val="26"/>
                <w:szCs w:val="26"/>
              </w:rPr>
              <w:t>692,00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Алеутский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950,00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883,00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Мильковский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246,00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927,00</w:t>
            </w:r>
          </w:p>
        </w:tc>
      </w:tr>
      <w:tr w:rsidR="00B204B8" w:rsidRPr="00B204B8" w:rsidTr="001C7CE6">
        <w:tc>
          <w:tcPr>
            <w:tcW w:w="3301" w:type="dxa"/>
          </w:tcPr>
          <w:p w:rsidR="00C35BA9" w:rsidRPr="00B204B8" w:rsidRDefault="00C35BA9" w:rsidP="001C7CE6">
            <w:pPr>
              <w:autoSpaceDE w:val="0"/>
              <w:autoSpaceDN w:val="0"/>
              <w:adjustRightInd w:val="0"/>
              <w:jc w:val="both"/>
              <w:rPr>
                <w:sz w:val="26"/>
                <w:szCs w:val="26"/>
              </w:rPr>
            </w:pPr>
            <w:r w:rsidRPr="00B204B8">
              <w:rPr>
                <w:sz w:val="26"/>
                <w:szCs w:val="26"/>
              </w:rPr>
              <w:t>Пенжинский</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0,00</w:t>
            </w:r>
          </w:p>
        </w:tc>
        <w:tc>
          <w:tcPr>
            <w:tcW w:w="3302" w:type="dxa"/>
          </w:tcPr>
          <w:p w:rsidR="00C35BA9" w:rsidRPr="00B204B8" w:rsidRDefault="00C35BA9" w:rsidP="00B204B8">
            <w:pPr>
              <w:autoSpaceDE w:val="0"/>
              <w:autoSpaceDN w:val="0"/>
              <w:adjustRightInd w:val="0"/>
              <w:rPr>
                <w:sz w:val="26"/>
                <w:szCs w:val="26"/>
              </w:rPr>
            </w:pPr>
            <w:r w:rsidRPr="00B204B8">
              <w:rPr>
                <w:sz w:val="26"/>
                <w:szCs w:val="26"/>
              </w:rPr>
              <w:t>44,00</w:t>
            </w:r>
          </w:p>
        </w:tc>
      </w:tr>
    </w:tbl>
    <w:p w:rsidR="00C35BA9" w:rsidRPr="00B204B8" w:rsidRDefault="00C35BA9" w:rsidP="00C35BA9">
      <w:pPr>
        <w:autoSpaceDE w:val="0"/>
        <w:autoSpaceDN w:val="0"/>
        <w:adjustRightInd w:val="0"/>
        <w:ind w:firstLine="709"/>
        <w:jc w:val="both"/>
        <w:rPr>
          <w:sz w:val="28"/>
          <w:szCs w:val="28"/>
        </w:rPr>
      </w:pPr>
      <w:r w:rsidRPr="00B204B8">
        <w:rPr>
          <w:sz w:val="28"/>
          <w:szCs w:val="28"/>
        </w:rPr>
        <w:t xml:space="preserve">В рамках муниципальных программ администрации городских округов и муниципальных районов в Камчатском крае формировали условия для улучшения инвестиционной привлекательности и развития субъектов малого и среднего предпринимательства. Основными направлениями деятельности администраций муниципальных образований стали: инвестиционно-финансовая поддержка субъектов малого и среднего предпринимательства в виде грантов на создание собственного бизнеса; предоставление субсидий </w:t>
      </w:r>
      <w:r w:rsidRPr="00B204B8">
        <w:rPr>
          <w:sz w:val="28"/>
          <w:szCs w:val="28"/>
        </w:rPr>
        <w:lastRenderedPageBreak/>
        <w:t>для возмещения затрат на приобретение основных средств; мониторинг условий ведения бизнеса и принятие согласованных решений по выявленным проблемам. Востребовано такое направление поддержки субъектов малого предпринимательства, как предоставление бесплатных консультаций по основным направлениям ведения предпринимательской деятельности. Созданы консультационные пункты, работа которых заключается в помощи по составлению различного рода документов для регистрации предприятий и индивидуальных предпринимателей, выбора оптимального варианта уплаты налогов, составлении бухгалтерской и налоговой отчетности.</w:t>
      </w:r>
    </w:p>
    <w:p w:rsidR="00C35BA9" w:rsidRPr="00B204B8" w:rsidRDefault="00C35BA9" w:rsidP="00C35BA9">
      <w:pPr>
        <w:autoSpaceDE w:val="0"/>
        <w:autoSpaceDN w:val="0"/>
        <w:adjustRightInd w:val="0"/>
        <w:ind w:firstLine="709"/>
        <w:jc w:val="both"/>
        <w:rPr>
          <w:sz w:val="28"/>
          <w:szCs w:val="28"/>
        </w:rPr>
      </w:pPr>
      <w:r w:rsidRPr="00B204B8">
        <w:rPr>
          <w:sz w:val="28"/>
          <w:szCs w:val="28"/>
        </w:rPr>
        <w:t xml:space="preserve">С целью повышения конкурентоспособности товаров и услуг, производимых в Камчатском крае, в Елизовском муниципальном районе и Петропавловск-Камчатском городском округе в течение 2014 года проводились выставки-ярмарки. </w:t>
      </w:r>
    </w:p>
    <w:p w:rsidR="0011405B" w:rsidRPr="00B204B8" w:rsidRDefault="00BD41EB" w:rsidP="00BD41EB">
      <w:pPr>
        <w:widowControl w:val="0"/>
        <w:tabs>
          <w:tab w:val="left" w:pos="0"/>
        </w:tabs>
        <w:ind w:firstLine="709"/>
        <w:jc w:val="both"/>
        <w:rPr>
          <w:sz w:val="28"/>
          <w:szCs w:val="28"/>
        </w:rPr>
      </w:pPr>
      <w:r w:rsidRPr="00B204B8">
        <w:rPr>
          <w:sz w:val="28"/>
          <w:szCs w:val="28"/>
        </w:rPr>
        <w:t>При проведении комплексной оценки показателей</w:t>
      </w:r>
      <w:r w:rsidR="007201AF">
        <w:rPr>
          <w:sz w:val="28"/>
          <w:szCs w:val="28"/>
        </w:rPr>
        <w:t xml:space="preserve">, </w:t>
      </w:r>
      <w:r w:rsidRPr="00B204B8">
        <w:rPr>
          <w:sz w:val="28"/>
          <w:szCs w:val="28"/>
        </w:rPr>
        <w:t>характеризующих уровень развития малого и среднего предпринимательства и его роль на рынке труда в городских округах и муниципальных районах в Камчатском крае</w:t>
      </w:r>
      <w:r w:rsidR="008D11BD">
        <w:rPr>
          <w:sz w:val="28"/>
          <w:szCs w:val="28"/>
        </w:rPr>
        <w:t>,</w:t>
      </w:r>
      <w:r w:rsidRPr="00B204B8">
        <w:rPr>
          <w:sz w:val="28"/>
          <w:szCs w:val="28"/>
        </w:rPr>
        <w:t xml:space="preserve"> значения сводных индексов</w:t>
      </w:r>
      <w:r w:rsidR="007201AF">
        <w:rPr>
          <w:sz w:val="28"/>
          <w:szCs w:val="28"/>
        </w:rPr>
        <w:t>,</w:t>
      </w:r>
      <w:r w:rsidRPr="00B204B8">
        <w:rPr>
          <w:sz w:val="28"/>
          <w:szCs w:val="28"/>
        </w:rPr>
        <w:t xml:space="preserve"> отражающих средние объемы и темпы роста показателей</w:t>
      </w:r>
      <w:r w:rsidR="007201AF">
        <w:rPr>
          <w:sz w:val="28"/>
          <w:szCs w:val="28"/>
        </w:rPr>
        <w:t>,</w:t>
      </w:r>
      <w:r w:rsidRPr="00B204B8">
        <w:rPr>
          <w:sz w:val="28"/>
          <w:szCs w:val="28"/>
        </w:rPr>
        <w:t xml:space="preserve"> сложились следующим образом (рисунок </w:t>
      </w:r>
      <w:r w:rsidR="009070F6" w:rsidRPr="00B204B8">
        <w:rPr>
          <w:sz w:val="28"/>
          <w:szCs w:val="28"/>
        </w:rPr>
        <w:t>1</w:t>
      </w:r>
      <w:r w:rsidRPr="00B204B8">
        <w:rPr>
          <w:sz w:val="28"/>
          <w:szCs w:val="28"/>
        </w:rPr>
        <w:t>,</w:t>
      </w:r>
      <w:r w:rsidR="009070F6" w:rsidRPr="00B204B8">
        <w:rPr>
          <w:sz w:val="28"/>
          <w:szCs w:val="28"/>
        </w:rPr>
        <w:t xml:space="preserve"> 2</w:t>
      </w:r>
      <w:r w:rsidRPr="00B204B8">
        <w:rPr>
          <w:sz w:val="28"/>
          <w:szCs w:val="28"/>
        </w:rPr>
        <w:t>)</w:t>
      </w:r>
      <w:r w:rsidR="00023331">
        <w:rPr>
          <w:sz w:val="28"/>
          <w:szCs w:val="28"/>
        </w:rPr>
        <w:t>:</w:t>
      </w:r>
      <w:r w:rsidRPr="00B204B8">
        <w:rPr>
          <w:sz w:val="28"/>
          <w:szCs w:val="28"/>
        </w:rPr>
        <w:t xml:space="preserve"> </w:t>
      </w:r>
    </w:p>
    <w:p w:rsidR="00862B81" w:rsidRPr="00B204B8" w:rsidRDefault="00BD41EB" w:rsidP="00840B3E">
      <w:pPr>
        <w:widowControl w:val="0"/>
        <w:tabs>
          <w:tab w:val="left" w:pos="0"/>
        </w:tabs>
        <w:ind w:firstLine="709"/>
        <w:jc w:val="right"/>
        <w:rPr>
          <w:rFonts w:ascii="TimesNewRomanPSMT" w:hAnsi="TimesNewRomanPSMT" w:hint="eastAsia"/>
          <w:b/>
          <w:sz w:val="28"/>
          <w:szCs w:val="28"/>
        </w:rPr>
      </w:pPr>
      <w:r w:rsidRPr="00B204B8">
        <w:rPr>
          <w:rFonts w:ascii="TimesNewRomanPSMT" w:hAnsi="TimesNewRomanPSMT"/>
          <w:b/>
          <w:sz w:val="28"/>
          <w:szCs w:val="28"/>
        </w:rPr>
        <w:t xml:space="preserve"> </w:t>
      </w:r>
      <w:r w:rsidR="00386D5D" w:rsidRPr="00B204B8">
        <w:rPr>
          <w:noProof/>
          <w:lang w:eastAsia="ru-RU"/>
        </w:rPr>
        <w:drawing>
          <wp:inline distT="0" distB="0" distL="0" distR="0" wp14:anchorId="7AB7C613" wp14:editId="7736C0CF">
            <wp:extent cx="5995284" cy="4365266"/>
            <wp:effectExtent l="0" t="0" r="24765" b="1651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62B81" w:rsidRPr="007B6BB8" w:rsidRDefault="007B6BB8" w:rsidP="007B6BB8">
      <w:pPr>
        <w:widowControl w:val="0"/>
        <w:tabs>
          <w:tab w:val="left" w:pos="0"/>
          <w:tab w:val="left" w:pos="709"/>
        </w:tabs>
        <w:ind w:firstLine="709"/>
        <w:jc w:val="center"/>
        <w:rPr>
          <w:sz w:val="28"/>
          <w:szCs w:val="28"/>
        </w:rPr>
      </w:pPr>
      <w:r w:rsidRPr="007B6BB8">
        <w:rPr>
          <w:sz w:val="28"/>
          <w:szCs w:val="28"/>
        </w:rPr>
        <w:t>Рисунок 1</w:t>
      </w:r>
    </w:p>
    <w:p w:rsidR="00386D5D" w:rsidRPr="00B204B8" w:rsidRDefault="00386D5D" w:rsidP="00BD41EB">
      <w:pPr>
        <w:widowControl w:val="0"/>
        <w:tabs>
          <w:tab w:val="left" w:pos="0"/>
        </w:tabs>
        <w:ind w:firstLine="709"/>
        <w:jc w:val="both"/>
        <w:rPr>
          <w:b/>
          <w:sz w:val="28"/>
          <w:szCs w:val="28"/>
        </w:rPr>
      </w:pPr>
    </w:p>
    <w:p w:rsidR="00F07424" w:rsidRDefault="00F07424" w:rsidP="00415D7A">
      <w:pPr>
        <w:widowControl w:val="0"/>
        <w:tabs>
          <w:tab w:val="left" w:pos="0"/>
        </w:tabs>
        <w:ind w:firstLine="709"/>
        <w:jc w:val="right"/>
        <w:rPr>
          <w:b/>
          <w:sz w:val="28"/>
          <w:szCs w:val="28"/>
        </w:rPr>
      </w:pPr>
    </w:p>
    <w:p w:rsidR="0011405B" w:rsidRPr="00B204B8" w:rsidRDefault="00BD41EB" w:rsidP="00415D7A">
      <w:pPr>
        <w:widowControl w:val="0"/>
        <w:tabs>
          <w:tab w:val="left" w:pos="0"/>
        </w:tabs>
        <w:ind w:firstLine="709"/>
        <w:jc w:val="right"/>
        <w:rPr>
          <w:b/>
          <w:sz w:val="28"/>
          <w:szCs w:val="28"/>
        </w:rPr>
      </w:pPr>
      <w:r w:rsidRPr="00B204B8">
        <w:rPr>
          <w:b/>
          <w:sz w:val="28"/>
          <w:szCs w:val="28"/>
        </w:rPr>
        <w:t xml:space="preserve"> </w:t>
      </w:r>
    </w:p>
    <w:p w:rsidR="0011405B" w:rsidRPr="00B204B8" w:rsidRDefault="0011405B" w:rsidP="0011405B">
      <w:pPr>
        <w:keepNext/>
        <w:widowControl w:val="0"/>
        <w:tabs>
          <w:tab w:val="left" w:pos="0"/>
        </w:tabs>
        <w:jc w:val="both"/>
      </w:pPr>
      <w:r w:rsidRPr="00B204B8">
        <w:rPr>
          <w:noProof/>
          <w:lang w:eastAsia="ru-RU"/>
        </w:rPr>
        <w:lastRenderedPageBreak/>
        <w:drawing>
          <wp:inline distT="0" distB="0" distL="0" distR="0" wp14:anchorId="6EF19AE3" wp14:editId="45CFDD6B">
            <wp:extent cx="5940425" cy="3881601"/>
            <wp:effectExtent l="0" t="0" r="22225" b="2413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62B81" w:rsidRDefault="007B6BB8" w:rsidP="007B6BB8">
      <w:pPr>
        <w:widowControl w:val="0"/>
        <w:tabs>
          <w:tab w:val="left" w:pos="0"/>
        </w:tabs>
        <w:ind w:firstLine="709"/>
        <w:jc w:val="center"/>
        <w:rPr>
          <w:sz w:val="28"/>
          <w:szCs w:val="28"/>
        </w:rPr>
      </w:pPr>
      <w:r w:rsidRPr="007B6BB8">
        <w:rPr>
          <w:sz w:val="28"/>
          <w:szCs w:val="28"/>
        </w:rPr>
        <w:t>Рисунок 2</w:t>
      </w:r>
    </w:p>
    <w:p w:rsidR="007B6BB8" w:rsidRPr="007B6BB8" w:rsidRDefault="007B6BB8" w:rsidP="007B6BB8">
      <w:pPr>
        <w:widowControl w:val="0"/>
        <w:tabs>
          <w:tab w:val="left" w:pos="0"/>
        </w:tabs>
        <w:ind w:firstLine="709"/>
        <w:jc w:val="center"/>
        <w:rPr>
          <w:sz w:val="28"/>
          <w:szCs w:val="28"/>
        </w:rPr>
      </w:pPr>
    </w:p>
    <w:p w:rsidR="00BD41EB" w:rsidRPr="00B204B8" w:rsidRDefault="00BD41EB" w:rsidP="00BD41EB">
      <w:pPr>
        <w:widowControl w:val="0"/>
        <w:tabs>
          <w:tab w:val="left" w:pos="0"/>
        </w:tabs>
        <w:jc w:val="both"/>
        <w:rPr>
          <w:sz w:val="28"/>
          <w:szCs w:val="28"/>
        </w:rPr>
      </w:pPr>
      <w:r w:rsidRPr="00B204B8">
        <w:rPr>
          <w:b/>
          <w:sz w:val="28"/>
          <w:szCs w:val="28"/>
        </w:rPr>
        <w:tab/>
      </w:r>
      <w:r w:rsidRPr="00B204B8">
        <w:rPr>
          <w:sz w:val="28"/>
          <w:szCs w:val="28"/>
        </w:rPr>
        <w:t>По значениям сводных индексов показателей «Число субъектов малого и среднего предпринимательства» и «Доля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в расчете на 10 тыс. человек населения</w:t>
      </w:r>
      <w:r w:rsidR="00124249" w:rsidRPr="00B204B8">
        <w:rPr>
          <w:sz w:val="28"/>
          <w:szCs w:val="28"/>
        </w:rPr>
        <w:t xml:space="preserve"> </w:t>
      </w:r>
      <w:r w:rsidRPr="00B204B8">
        <w:rPr>
          <w:sz w:val="28"/>
          <w:szCs w:val="28"/>
        </w:rPr>
        <w:t>лидирующие позиции распределились следующим образом:</w:t>
      </w:r>
    </w:p>
    <w:p w:rsidR="009070F6" w:rsidRPr="00B204B8" w:rsidRDefault="009070F6" w:rsidP="009070F6">
      <w:pPr>
        <w:widowControl w:val="0"/>
        <w:tabs>
          <w:tab w:val="left" w:pos="0"/>
          <w:tab w:val="left" w:pos="709"/>
        </w:tabs>
        <w:ind w:firstLine="709"/>
        <w:jc w:val="both"/>
        <w:rPr>
          <w:sz w:val="28"/>
          <w:szCs w:val="28"/>
        </w:rPr>
      </w:pPr>
      <w:r w:rsidRPr="00B204B8">
        <w:rPr>
          <w:sz w:val="28"/>
          <w:szCs w:val="28"/>
        </w:rPr>
        <w:t>Муниципальные районы</w:t>
      </w:r>
    </w:p>
    <w:p w:rsidR="009070F6" w:rsidRPr="00B204B8" w:rsidRDefault="009070F6" w:rsidP="009070F6">
      <w:pPr>
        <w:widowControl w:val="0"/>
        <w:tabs>
          <w:tab w:val="left" w:pos="0"/>
        </w:tabs>
        <w:ind w:firstLine="709"/>
        <w:jc w:val="both"/>
        <w:rPr>
          <w:sz w:val="28"/>
          <w:szCs w:val="28"/>
        </w:rPr>
      </w:pPr>
      <w:r w:rsidRPr="00B204B8">
        <w:rPr>
          <w:sz w:val="28"/>
          <w:szCs w:val="28"/>
        </w:rPr>
        <w:t xml:space="preserve">1) </w:t>
      </w:r>
      <w:r w:rsidR="00BD2598" w:rsidRPr="00B204B8">
        <w:rPr>
          <w:sz w:val="28"/>
          <w:szCs w:val="28"/>
        </w:rPr>
        <w:t>Усть-Большерецкий</w:t>
      </w:r>
    </w:p>
    <w:p w:rsidR="009070F6" w:rsidRPr="00B204B8" w:rsidRDefault="009070F6" w:rsidP="009070F6">
      <w:pPr>
        <w:widowControl w:val="0"/>
        <w:tabs>
          <w:tab w:val="left" w:pos="0"/>
        </w:tabs>
        <w:ind w:firstLine="709"/>
        <w:jc w:val="both"/>
        <w:rPr>
          <w:sz w:val="28"/>
          <w:szCs w:val="28"/>
        </w:rPr>
      </w:pPr>
      <w:r w:rsidRPr="00B204B8">
        <w:rPr>
          <w:sz w:val="28"/>
          <w:szCs w:val="28"/>
        </w:rPr>
        <w:t xml:space="preserve">2) </w:t>
      </w:r>
      <w:r w:rsidR="00BD2598" w:rsidRPr="00B204B8">
        <w:rPr>
          <w:sz w:val="28"/>
          <w:szCs w:val="28"/>
        </w:rPr>
        <w:t>Соболевский</w:t>
      </w:r>
    </w:p>
    <w:p w:rsidR="00EF2064" w:rsidRPr="00B204B8" w:rsidRDefault="009070F6" w:rsidP="009070F6">
      <w:pPr>
        <w:widowControl w:val="0"/>
        <w:tabs>
          <w:tab w:val="left" w:pos="0"/>
        </w:tabs>
        <w:ind w:firstLine="709"/>
        <w:jc w:val="both"/>
        <w:rPr>
          <w:sz w:val="28"/>
          <w:szCs w:val="28"/>
        </w:rPr>
      </w:pPr>
      <w:r w:rsidRPr="00B204B8">
        <w:rPr>
          <w:sz w:val="28"/>
          <w:szCs w:val="28"/>
        </w:rPr>
        <w:t xml:space="preserve">3) </w:t>
      </w:r>
      <w:r w:rsidR="00BD2598" w:rsidRPr="00B204B8">
        <w:rPr>
          <w:sz w:val="28"/>
          <w:szCs w:val="28"/>
        </w:rPr>
        <w:t>Тигильский</w:t>
      </w:r>
    </w:p>
    <w:p w:rsidR="009070F6" w:rsidRPr="00B204B8" w:rsidRDefault="009070F6" w:rsidP="009070F6">
      <w:pPr>
        <w:widowControl w:val="0"/>
        <w:tabs>
          <w:tab w:val="left" w:pos="0"/>
        </w:tabs>
        <w:ind w:firstLine="709"/>
        <w:jc w:val="both"/>
        <w:rPr>
          <w:sz w:val="28"/>
          <w:szCs w:val="28"/>
        </w:rPr>
      </w:pPr>
      <w:r w:rsidRPr="00B204B8">
        <w:rPr>
          <w:sz w:val="28"/>
          <w:szCs w:val="28"/>
        </w:rPr>
        <w:t>Городской округ</w:t>
      </w:r>
    </w:p>
    <w:p w:rsidR="00670FFF" w:rsidRPr="00B204B8" w:rsidRDefault="00670FFF" w:rsidP="00670FFF">
      <w:pPr>
        <w:widowControl w:val="0"/>
        <w:tabs>
          <w:tab w:val="left" w:pos="0"/>
        </w:tabs>
        <w:ind w:firstLine="709"/>
        <w:jc w:val="both"/>
        <w:rPr>
          <w:sz w:val="28"/>
          <w:szCs w:val="28"/>
        </w:rPr>
      </w:pPr>
      <w:r w:rsidRPr="00B204B8">
        <w:rPr>
          <w:sz w:val="28"/>
          <w:szCs w:val="28"/>
        </w:rPr>
        <w:t>1) Петропавловск-Камчатский</w:t>
      </w:r>
    </w:p>
    <w:p w:rsidR="00FD0126" w:rsidRPr="00B204B8" w:rsidRDefault="00FD0126" w:rsidP="00FD0126">
      <w:pPr>
        <w:pStyle w:val="a3"/>
        <w:widowControl w:val="0"/>
        <w:tabs>
          <w:tab w:val="left" w:pos="0"/>
        </w:tabs>
        <w:ind w:left="1069"/>
        <w:jc w:val="both"/>
        <w:rPr>
          <w:sz w:val="28"/>
          <w:szCs w:val="28"/>
        </w:rPr>
      </w:pPr>
    </w:p>
    <w:p w:rsidR="00DA3028" w:rsidRPr="00B204B8" w:rsidRDefault="00EE3EEC" w:rsidP="00DA3028">
      <w:pPr>
        <w:widowControl w:val="0"/>
        <w:ind w:firstLine="709"/>
        <w:jc w:val="center"/>
        <w:rPr>
          <w:b/>
          <w:bCs/>
          <w:i/>
          <w:iCs/>
          <w:sz w:val="28"/>
          <w:szCs w:val="28"/>
        </w:rPr>
      </w:pPr>
      <w:r w:rsidRPr="00B204B8">
        <w:rPr>
          <w:b/>
          <w:bCs/>
          <w:i/>
          <w:iCs/>
          <w:sz w:val="28"/>
          <w:szCs w:val="28"/>
        </w:rPr>
        <w:t>Сельское хозяйство</w:t>
      </w:r>
    </w:p>
    <w:p w:rsidR="00FD0126" w:rsidRPr="00B204B8" w:rsidRDefault="00FD0126" w:rsidP="00DA3028">
      <w:pPr>
        <w:widowControl w:val="0"/>
        <w:ind w:firstLine="709"/>
        <w:jc w:val="center"/>
        <w:rPr>
          <w:sz w:val="28"/>
          <w:szCs w:val="28"/>
        </w:rPr>
      </w:pPr>
    </w:p>
    <w:p w:rsidR="008C73CF" w:rsidRPr="00B204B8" w:rsidRDefault="008C73CF" w:rsidP="00EA154E">
      <w:pPr>
        <w:ind w:firstLine="709"/>
        <w:jc w:val="both"/>
        <w:rPr>
          <w:sz w:val="28"/>
          <w:szCs w:val="28"/>
        </w:rPr>
      </w:pPr>
      <w:r w:rsidRPr="00B204B8">
        <w:rPr>
          <w:sz w:val="28"/>
          <w:szCs w:val="28"/>
        </w:rPr>
        <w:t>На сельскохозяйственное производство в Камчатском крае оказывают влияние</w:t>
      </w:r>
      <w:r w:rsidR="00B92816" w:rsidRPr="00B204B8">
        <w:rPr>
          <w:sz w:val="28"/>
          <w:szCs w:val="28"/>
        </w:rPr>
        <w:t xml:space="preserve"> суровые климатические и географические условия, высокая стоимость привозного топлива. </w:t>
      </w:r>
      <w:r w:rsidRPr="00B204B8">
        <w:rPr>
          <w:sz w:val="28"/>
          <w:szCs w:val="28"/>
        </w:rPr>
        <w:t xml:space="preserve"> </w:t>
      </w:r>
    </w:p>
    <w:p w:rsidR="00B92816" w:rsidRPr="00B204B8" w:rsidRDefault="00B92816" w:rsidP="00B92816">
      <w:pPr>
        <w:ind w:firstLine="709"/>
        <w:jc w:val="both"/>
        <w:rPr>
          <w:sz w:val="28"/>
          <w:szCs w:val="28"/>
        </w:rPr>
      </w:pPr>
      <w:r w:rsidRPr="00B204B8">
        <w:rPr>
          <w:sz w:val="28"/>
          <w:szCs w:val="28"/>
        </w:rPr>
        <w:t>Вместе с тем в условиях крайней удаленности</w:t>
      </w:r>
      <w:r w:rsidR="008C73CF" w:rsidRPr="00B204B8">
        <w:rPr>
          <w:sz w:val="28"/>
          <w:szCs w:val="28"/>
        </w:rPr>
        <w:t xml:space="preserve"> Камчатского края от традиционно развитых центральных регионов </w:t>
      </w:r>
      <w:r w:rsidRPr="00B204B8">
        <w:rPr>
          <w:sz w:val="28"/>
          <w:szCs w:val="28"/>
        </w:rPr>
        <w:t xml:space="preserve">России данная отрасль является обеспечивающей, ее стратегической задачей является повышение </w:t>
      </w:r>
      <w:r w:rsidRPr="00B204B8">
        <w:rPr>
          <w:sz w:val="28"/>
          <w:szCs w:val="28"/>
        </w:rPr>
        <w:lastRenderedPageBreak/>
        <w:t>уровня обеспеченности населения региона продуктами питания местного производства, доступными по цене и безопасными по качеству.</w:t>
      </w:r>
    </w:p>
    <w:p w:rsidR="00ED2514" w:rsidRPr="00B204B8" w:rsidRDefault="00ED2514" w:rsidP="00ED2514">
      <w:pPr>
        <w:ind w:firstLine="709"/>
        <w:jc w:val="both"/>
        <w:rPr>
          <w:sz w:val="28"/>
          <w:szCs w:val="28"/>
        </w:rPr>
      </w:pPr>
      <w:r w:rsidRPr="00B204B8">
        <w:rPr>
          <w:sz w:val="28"/>
          <w:szCs w:val="28"/>
        </w:rPr>
        <w:t xml:space="preserve">В сельской местности региона в 2014 году проживало 22,5 % общей численности населения Камчатского края, или 71,3 тыс. человек. </w:t>
      </w:r>
    </w:p>
    <w:p w:rsidR="00ED2514" w:rsidRPr="00B204B8" w:rsidRDefault="006D7228" w:rsidP="00ED2514">
      <w:pPr>
        <w:ind w:firstLine="709"/>
        <w:jc w:val="both"/>
        <w:rPr>
          <w:sz w:val="28"/>
          <w:szCs w:val="28"/>
        </w:rPr>
      </w:pPr>
      <w:r w:rsidRPr="00B204B8">
        <w:rPr>
          <w:sz w:val="28"/>
          <w:szCs w:val="28"/>
        </w:rPr>
        <w:t>По состоянию на</w:t>
      </w:r>
      <w:r w:rsidR="00ED2514" w:rsidRPr="00B204B8">
        <w:rPr>
          <w:sz w:val="28"/>
          <w:szCs w:val="28"/>
        </w:rPr>
        <w:t xml:space="preserve"> конец 2014 года число зарегистрированных организаций по виду деятельности «сельское хозяйство» составляло 254 единицы, индивидуальных предпринимателей, зарегистрированных в качестве главы крестьянского (фермерского) хозяйства  - 223 единицы, крестьянских (фермерских) хозяйств – 6, личных (подсобных) хозяйств – 6,9 тыс. единиц.</w:t>
      </w:r>
    </w:p>
    <w:p w:rsidR="00ED2514" w:rsidRPr="00B204B8" w:rsidRDefault="00ED2514" w:rsidP="00ED2514">
      <w:pPr>
        <w:ind w:firstLine="709"/>
        <w:jc w:val="both"/>
        <w:rPr>
          <w:sz w:val="28"/>
          <w:szCs w:val="28"/>
        </w:rPr>
      </w:pPr>
      <w:r w:rsidRPr="00B204B8">
        <w:rPr>
          <w:sz w:val="28"/>
          <w:szCs w:val="28"/>
        </w:rPr>
        <w:t>Малые формы хозяйствования в Камчатском крае производят 65,0 % валовой продукции сельского хозяйства. За крестьянскими (фермерскими) хозяйствами на территории Камчатского края закреплено 9,8 тыс. га земель сельскохозяйственного назначения.</w:t>
      </w:r>
    </w:p>
    <w:p w:rsidR="00ED2514" w:rsidRPr="00B204B8" w:rsidRDefault="00CD0E14" w:rsidP="00ED2514">
      <w:pPr>
        <w:ind w:firstLine="709"/>
        <w:jc w:val="both"/>
        <w:rPr>
          <w:sz w:val="28"/>
          <w:szCs w:val="28"/>
        </w:rPr>
      </w:pPr>
      <w:r w:rsidRPr="00B204B8">
        <w:rPr>
          <w:sz w:val="28"/>
          <w:szCs w:val="28"/>
        </w:rPr>
        <w:t>Сельскохозяйственное производство в  Камчатском крае состоит из двух блоков: растениеводство и животноводство.</w:t>
      </w:r>
    </w:p>
    <w:p w:rsidR="00ED2514" w:rsidRPr="00B204B8" w:rsidRDefault="00ED2514" w:rsidP="00ED2514">
      <w:pPr>
        <w:ind w:firstLine="709"/>
        <w:jc w:val="both"/>
        <w:rPr>
          <w:sz w:val="28"/>
          <w:szCs w:val="28"/>
        </w:rPr>
      </w:pPr>
      <w:r w:rsidRPr="00B204B8">
        <w:rPr>
          <w:sz w:val="28"/>
          <w:szCs w:val="28"/>
        </w:rPr>
        <w:t>Выпуск продукции сельского хозяйства всеми сельскохозяйственными товаропроизводителями Камчатского края в 2014 году составил 7 661,0 млн рублей, в том числе продукции растениеводства – 3 910,8 млн рублей, продукции животноводства – 3 750,2 млн рублей. Индекс производства к 2013 году составил 111,0 %, в том числе в растениеводстве - 116,1 %, в животноводстве - 105,4 %.</w:t>
      </w:r>
    </w:p>
    <w:p w:rsidR="00787085" w:rsidRPr="00B204B8" w:rsidRDefault="00787085" w:rsidP="00787085">
      <w:pPr>
        <w:ind w:firstLine="709"/>
        <w:jc w:val="both"/>
        <w:rPr>
          <w:sz w:val="28"/>
          <w:szCs w:val="28"/>
        </w:rPr>
      </w:pPr>
      <w:r w:rsidRPr="00B204B8">
        <w:rPr>
          <w:sz w:val="28"/>
          <w:szCs w:val="28"/>
        </w:rPr>
        <w:t>Благоприятные погодные условия в 2014 году способствовали производству 47,6 тыс. тонн картофеля и 18,2 тыс. тонн овощей. По сравнению с 2013 годом объем производства картофеля увеличился на 5</w:t>
      </w:r>
      <w:r w:rsidR="00D753DA" w:rsidRPr="00B204B8">
        <w:rPr>
          <w:sz w:val="28"/>
          <w:szCs w:val="28"/>
        </w:rPr>
        <w:t xml:space="preserve"> </w:t>
      </w:r>
      <w:r w:rsidRPr="00B204B8">
        <w:rPr>
          <w:sz w:val="28"/>
          <w:szCs w:val="28"/>
        </w:rPr>
        <w:t>781 тонну, овощей - на 4</w:t>
      </w:r>
      <w:r w:rsidR="00D753DA" w:rsidRPr="00B204B8">
        <w:rPr>
          <w:sz w:val="28"/>
          <w:szCs w:val="28"/>
        </w:rPr>
        <w:t xml:space="preserve"> </w:t>
      </w:r>
      <w:r w:rsidRPr="00B204B8">
        <w:rPr>
          <w:sz w:val="28"/>
          <w:szCs w:val="28"/>
        </w:rPr>
        <w:t xml:space="preserve">986,6 тонны. </w:t>
      </w:r>
    </w:p>
    <w:p w:rsidR="00787085" w:rsidRPr="00B204B8" w:rsidRDefault="00787085" w:rsidP="00ED2514">
      <w:pPr>
        <w:ind w:firstLine="709"/>
        <w:jc w:val="both"/>
        <w:rPr>
          <w:sz w:val="28"/>
          <w:szCs w:val="28"/>
        </w:rPr>
      </w:pPr>
      <w:r w:rsidRPr="00B204B8">
        <w:rPr>
          <w:sz w:val="28"/>
          <w:szCs w:val="28"/>
        </w:rPr>
        <w:t>Сельскохозяйственные товаропроизводители Камчатского края успешно завершили в 2014 году заготовку кормов. Заготовлено 5,3 тыс. тонн сена; 10,2 тыс. тонн сенажа в упаковке; 23,3 тыс. тонн силоса. Кормовая база для сельскохозяйственных животных сформирована в полном объёме, и зимний стойловый период прошёл без сбоев.</w:t>
      </w:r>
    </w:p>
    <w:p w:rsidR="00074D77" w:rsidRPr="00B204B8" w:rsidRDefault="00BD41EB" w:rsidP="00074D77">
      <w:pPr>
        <w:widowControl w:val="0"/>
        <w:ind w:firstLine="709"/>
        <w:jc w:val="both"/>
        <w:rPr>
          <w:sz w:val="28"/>
          <w:szCs w:val="28"/>
        </w:rPr>
      </w:pPr>
      <w:r w:rsidRPr="00B204B8">
        <w:rPr>
          <w:sz w:val="28"/>
          <w:szCs w:val="28"/>
        </w:rPr>
        <w:t>В 201</w:t>
      </w:r>
      <w:r w:rsidR="00A47B6F" w:rsidRPr="00B204B8">
        <w:rPr>
          <w:sz w:val="28"/>
          <w:szCs w:val="28"/>
        </w:rPr>
        <w:t>4</w:t>
      </w:r>
      <w:r w:rsidRPr="00B204B8">
        <w:rPr>
          <w:sz w:val="28"/>
          <w:szCs w:val="28"/>
        </w:rPr>
        <w:t xml:space="preserve"> году в обороте хозяйств всех категорий находилось </w:t>
      </w:r>
      <w:r w:rsidR="009202AA" w:rsidRPr="00B204B8">
        <w:rPr>
          <w:sz w:val="28"/>
          <w:szCs w:val="28"/>
        </w:rPr>
        <w:t>2</w:t>
      </w:r>
      <w:r w:rsidR="00A47B6F" w:rsidRPr="00B204B8">
        <w:rPr>
          <w:sz w:val="28"/>
          <w:szCs w:val="28"/>
        </w:rPr>
        <w:t>1 174</w:t>
      </w:r>
      <w:r w:rsidRPr="00B204B8">
        <w:rPr>
          <w:sz w:val="28"/>
          <w:szCs w:val="28"/>
        </w:rPr>
        <w:t xml:space="preserve"> га посевных площадей сельскохозяйственных культур, что составляет </w:t>
      </w:r>
      <w:r w:rsidR="00A47B6F" w:rsidRPr="00B204B8">
        <w:rPr>
          <w:sz w:val="28"/>
          <w:szCs w:val="28"/>
        </w:rPr>
        <w:t>103,7</w:t>
      </w:r>
      <w:r w:rsidR="00124249" w:rsidRPr="00B204B8">
        <w:rPr>
          <w:sz w:val="28"/>
          <w:szCs w:val="28"/>
        </w:rPr>
        <w:t xml:space="preserve"> </w:t>
      </w:r>
      <w:r w:rsidRPr="00B204B8">
        <w:rPr>
          <w:sz w:val="28"/>
          <w:szCs w:val="28"/>
        </w:rPr>
        <w:t>% к уровню 201</w:t>
      </w:r>
      <w:r w:rsidR="00A47B6F" w:rsidRPr="00B204B8">
        <w:rPr>
          <w:sz w:val="28"/>
          <w:szCs w:val="28"/>
        </w:rPr>
        <w:t>3</w:t>
      </w:r>
      <w:r w:rsidRPr="00B204B8">
        <w:rPr>
          <w:sz w:val="28"/>
          <w:szCs w:val="28"/>
        </w:rPr>
        <w:t xml:space="preserve"> года</w:t>
      </w:r>
      <w:r w:rsidR="00074D77" w:rsidRPr="00B204B8">
        <w:rPr>
          <w:sz w:val="28"/>
          <w:szCs w:val="28"/>
        </w:rPr>
        <w:t xml:space="preserve">, в том числе 17 316 га занято кормовыми культурами; 2 990 га – посевами картофеля; 730 га – овощами; 138 га – зерновыми культурами. </w:t>
      </w:r>
    </w:p>
    <w:p w:rsidR="00BD41EB" w:rsidRPr="00B204B8" w:rsidRDefault="00BD41EB" w:rsidP="00BD41EB">
      <w:pPr>
        <w:widowControl w:val="0"/>
        <w:ind w:firstLine="709"/>
        <w:jc w:val="both"/>
        <w:rPr>
          <w:sz w:val="28"/>
          <w:szCs w:val="28"/>
        </w:rPr>
      </w:pPr>
      <w:r w:rsidRPr="00B204B8">
        <w:rPr>
          <w:sz w:val="28"/>
          <w:szCs w:val="28"/>
        </w:rPr>
        <w:t xml:space="preserve">Животноводство Камчатского края представлено молочным скотоводством, свиноводством, оленеводством и яичным птицеводством. </w:t>
      </w:r>
    </w:p>
    <w:p w:rsidR="00BD41EB" w:rsidRPr="00B204B8" w:rsidRDefault="00BD41EB" w:rsidP="00BD41EB">
      <w:pPr>
        <w:widowControl w:val="0"/>
        <w:ind w:firstLine="709"/>
        <w:jc w:val="both"/>
        <w:rPr>
          <w:sz w:val="28"/>
          <w:szCs w:val="28"/>
        </w:rPr>
      </w:pPr>
      <w:r w:rsidRPr="00B204B8">
        <w:rPr>
          <w:sz w:val="28"/>
          <w:szCs w:val="28"/>
        </w:rPr>
        <w:t xml:space="preserve">На </w:t>
      </w:r>
      <w:r w:rsidR="00AC7ED8" w:rsidRPr="00B204B8">
        <w:rPr>
          <w:sz w:val="28"/>
          <w:szCs w:val="28"/>
        </w:rPr>
        <w:t xml:space="preserve"> конец</w:t>
      </w:r>
      <w:r w:rsidRPr="00B204B8">
        <w:rPr>
          <w:sz w:val="28"/>
          <w:szCs w:val="28"/>
        </w:rPr>
        <w:t xml:space="preserve"> 201</w:t>
      </w:r>
      <w:r w:rsidR="00DB45D2" w:rsidRPr="00B204B8">
        <w:rPr>
          <w:sz w:val="28"/>
          <w:szCs w:val="28"/>
        </w:rPr>
        <w:t>4</w:t>
      </w:r>
      <w:r w:rsidRPr="00B204B8">
        <w:rPr>
          <w:sz w:val="28"/>
          <w:szCs w:val="28"/>
        </w:rPr>
        <w:t xml:space="preserve"> года поголовье крупного рогатого скота в хозяйствах всех товаропроизводителей составило </w:t>
      </w:r>
      <w:r w:rsidR="00DB45D2" w:rsidRPr="00B204B8">
        <w:rPr>
          <w:sz w:val="28"/>
          <w:szCs w:val="28"/>
        </w:rPr>
        <w:t>10,0 тыс. голов</w:t>
      </w:r>
      <w:r w:rsidRPr="00B204B8">
        <w:rPr>
          <w:sz w:val="28"/>
          <w:szCs w:val="28"/>
        </w:rPr>
        <w:t xml:space="preserve"> (из них коров –</w:t>
      </w:r>
      <w:r w:rsidR="00DB45D2" w:rsidRPr="00B204B8">
        <w:rPr>
          <w:sz w:val="28"/>
          <w:szCs w:val="28"/>
        </w:rPr>
        <w:t xml:space="preserve"> 4,6 </w:t>
      </w:r>
      <w:r w:rsidRPr="00B204B8">
        <w:rPr>
          <w:sz w:val="28"/>
          <w:szCs w:val="28"/>
        </w:rPr>
        <w:t xml:space="preserve">тыс. голов), оленей – </w:t>
      </w:r>
      <w:r w:rsidR="00755808" w:rsidRPr="00B204B8">
        <w:rPr>
          <w:sz w:val="28"/>
          <w:szCs w:val="28"/>
        </w:rPr>
        <w:t>4</w:t>
      </w:r>
      <w:r w:rsidR="00DB45D2" w:rsidRPr="00B204B8">
        <w:rPr>
          <w:sz w:val="28"/>
          <w:szCs w:val="28"/>
        </w:rPr>
        <w:t>4</w:t>
      </w:r>
      <w:r w:rsidR="00755808" w:rsidRPr="00B204B8">
        <w:rPr>
          <w:sz w:val="28"/>
          <w:szCs w:val="28"/>
        </w:rPr>
        <w:t>,</w:t>
      </w:r>
      <w:r w:rsidR="00DB45D2" w:rsidRPr="00B204B8">
        <w:rPr>
          <w:sz w:val="28"/>
          <w:szCs w:val="28"/>
        </w:rPr>
        <w:t>8</w:t>
      </w:r>
      <w:r w:rsidRPr="00B204B8">
        <w:rPr>
          <w:sz w:val="28"/>
          <w:szCs w:val="28"/>
        </w:rPr>
        <w:t xml:space="preserve"> тыс. голов, свиней – </w:t>
      </w:r>
      <w:r w:rsidR="00755808" w:rsidRPr="00B204B8">
        <w:rPr>
          <w:sz w:val="28"/>
          <w:szCs w:val="28"/>
        </w:rPr>
        <w:t>1</w:t>
      </w:r>
      <w:r w:rsidR="00DB45D2" w:rsidRPr="00B204B8">
        <w:rPr>
          <w:sz w:val="28"/>
          <w:szCs w:val="28"/>
        </w:rPr>
        <w:t>4</w:t>
      </w:r>
      <w:r w:rsidRPr="00B204B8">
        <w:rPr>
          <w:sz w:val="28"/>
          <w:szCs w:val="28"/>
        </w:rPr>
        <w:t>,</w:t>
      </w:r>
      <w:r w:rsidR="00DB45D2" w:rsidRPr="00B204B8">
        <w:rPr>
          <w:sz w:val="28"/>
          <w:szCs w:val="28"/>
        </w:rPr>
        <w:t>5</w:t>
      </w:r>
      <w:r w:rsidRPr="00B204B8">
        <w:rPr>
          <w:sz w:val="28"/>
          <w:szCs w:val="28"/>
        </w:rPr>
        <w:t xml:space="preserve"> тыс. голов, овец и коз – </w:t>
      </w:r>
      <w:r w:rsidR="00755808" w:rsidRPr="00B204B8">
        <w:rPr>
          <w:sz w:val="28"/>
          <w:szCs w:val="28"/>
        </w:rPr>
        <w:t>3</w:t>
      </w:r>
      <w:r w:rsidRPr="00B204B8">
        <w:rPr>
          <w:sz w:val="28"/>
          <w:szCs w:val="28"/>
        </w:rPr>
        <w:t>,</w:t>
      </w:r>
      <w:r w:rsidR="00DB45D2" w:rsidRPr="00B204B8">
        <w:rPr>
          <w:sz w:val="28"/>
          <w:szCs w:val="28"/>
        </w:rPr>
        <w:t>1</w:t>
      </w:r>
      <w:r w:rsidRPr="00B204B8">
        <w:rPr>
          <w:sz w:val="28"/>
          <w:szCs w:val="28"/>
        </w:rPr>
        <w:t xml:space="preserve"> тыс. голов.</w:t>
      </w:r>
      <w:r w:rsidR="00464DF3" w:rsidRPr="00B204B8">
        <w:rPr>
          <w:sz w:val="28"/>
          <w:szCs w:val="28"/>
        </w:rPr>
        <w:t xml:space="preserve"> </w:t>
      </w:r>
      <w:r w:rsidRPr="00B204B8">
        <w:rPr>
          <w:sz w:val="28"/>
          <w:szCs w:val="28"/>
        </w:rPr>
        <w:t xml:space="preserve"> По сравнению с предыдущим годом поголовье крупного рогатого скота увеличилось на </w:t>
      </w:r>
      <w:r w:rsidR="0054204A" w:rsidRPr="00B204B8">
        <w:rPr>
          <w:sz w:val="28"/>
          <w:szCs w:val="28"/>
        </w:rPr>
        <w:t>0,4</w:t>
      </w:r>
      <w:r w:rsidR="00124249" w:rsidRPr="00B204B8">
        <w:rPr>
          <w:sz w:val="28"/>
          <w:szCs w:val="28"/>
        </w:rPr>
        <w:t xml:space="preserve"> </w:t>
      </w:r>
      <w:r w:rsidRPr="00B204B8">
        <w:rPr>
          <w:sz w:val="28"/>
          <w:szCs w:val="28"/>
        </w:rPr>
        <w:t xml:space="preserve">%, в том числе коров – на </w:t>
      </w:r>
      <w:r w:rsidR="00DD3109" w:rsidRPr="00B204B8">
        <w:rPr>
          <w:sz w:val="28"/>
          <w:szCs w:val="28"/>
        </w:rPr>
        <w:t>6,1</w:t>
      </w:r>
      <w:r w:rsidR="00124249" w:rsidRPr="00B204B8">
        <w:rPr>
          <w:sz w:val="28"/>
          <w:szCs w:val="28"/>
        </w:rPr>
        <w:t xml:space="preserve"> </w:t>
      </w:r>
      <w:r w:rsidRPr="00B204B8">
        <w:rPr>
          <w:sz w:val="28"/>
          <w:szCs w:val="28"/>
        </w:rPr>
        <w:t>%,</w:t>
      </w:r>
      <w:r w:rsidR="00755808" w:rsidRPr="00B204B8">
        <w:rPr>
          <w:sz w:val="28"/>
          <w:szCs w:val="28"/>
        </w:rPr>
        <w:t xml:space="preserve"> овец и коз – на </w:t>
      </w:r>
      <w:r w:rsidR="00DD3109" w:rsidRPr="00B204B8">
        <w:rPr>
          <w:sz w:val="28"/>
          <w:szCs w:val="28"/>
        </w:rPr>
        <w:t>2,3</w:t>
      </w:r>
      <w:r w:rsidR="00755808" w:rsidRPr="00B204B8">
        <w:rPr>
          <w:sz w:val="28"/>
          <w:szCs w:val="28"/>
        </w:rPr>
        <w:t xml:space="preserve">%, </w:t>
      </w:r>
      <w:r w:rsidRPr="00B204B8">
        <w:rPr>
          <w:sz w:val="28"/>
          <w:szCs w:val="28"/>
        </w:rPr>
        <w:t xml:space="preserve"> поголовье </w:t>
      </w:r>
      <w:r w:rsidR="00755808" w:rsidRPr="00B204B8">
        <w:rPr>
          <w:sz w:val="28"/>
          <w:szCs w:val="28"/>
        </w:rPr>
        <w:t>оленей</w:t>
      </w:r>
      <w:r w:rsidRPr="00B204B8">
        <w:rPr>
          <w:sz w:val="28"/>
          <w:szCs w:val="28"/>
        </w:rPr>
        <w:t xml:space="preserve"> </w:t>
      </w:r>
      <w:r w:rsidR="00DD3109" w:rsidRPr="00B204B8">
        <w:rPr>
          <w:sz w:val="28"/>
          <w:szCs w:val="28"/>
        </w:rPr>
        <w:t>-</w:t>
      </w:r>
      <w:r w:rsidRPr="00B204B8">
        <w:rPr>
          <w:sz w:val="28"/>
          <w:szCs w:val="28"/>
        </w:rPr>
        <w:t xml:space="preserve"> на </w:t>
      </w:r>
      <w:r w:rsidR="00DD3109" w:rsidRPr="00B204B8">
        <w:rPr>
          <w:sz w:val="28"/>
          <w:szCs w:val="28"/>
        </w:rPr>
        <w:t>5,9</w:t>
      </w:r>
      <w:r w:rsidR="00124249" w:rsidRPr="00B204B8">
        <w:rPr>
          <w:sz w:val="28"/>
          <w:szCs w:val="28"/>
        </w:rPr>
        <w:t xml:space="preserve"> </w:t>
      </w:r>
      <w:r w:rsidRPr="00B204B8">
        <w:rPr>
          <w:sz w:val="28"/>
          <w:szCs w:val="28"/>
        </w:rPr>
        <w:t>%</w:t>
      </w:r>
      <w:r w:rsidR="0027601A" w:rsidRPr="00B204B8">
        <w:rPr>
          <w:sz w:val="28"/>
          <w:szCs w:val="28"/>
        </w:rPr>
        <w:t>, поголовье свиней снизилось на</w:t>
      </w:r>
      <w:r w:rsidR="00DD3109" w:rsidRPr="00B204B8">
        <w:rPr>
          <w:sz w:val="28"/>
          <w:szCs w:val="28"/>
        </w:rPr>
        <w:t xml:space="preserve"> 6,6 %. </w:t>
      </w:r>
    </w:p>
    <w:p w:rsidR="00BD41EB" w:rsidRPr="00B204B8" w:rsidRDefault="00BD41EB" w:rsidP="00BD41EB">
      <w:pPr>
        <w:widowControl w:val="0"/>
        <w:ind w:firstLine="709"/>
        <w:jc w:val="both"/>
        <w:rPr>
          <w:sz w:val="28"/>
          <w:szCs w:val="28"/>
        </w:rPr>
      </w:pPr>
      <w:r w:rsidRPr="00B204B8">
        <w:rPr>
          <w:sz w:val="28"/>
          <w:szCs w:val="28"/>
        </w:rPr>
        <w:t xml:space="preserve">Северное оленеводство является основной отраслью традиционной </w:t>
      </w:r>
      <w:r w:rsidRPr="00B204B8">
        <w:rPr>
          <w:sz w:val="28"/>
          <w:szCs w:val="28"/>
        </w:rPr>
        <w:lastRenderedPageBreak/>
        <w:t xml:space="preserve">хозяйственной деятельности коренных малочисленных народов Севера Камчатского края. </w:t>
      </w:r>
    </w:p>
    <w:p w:rsidR="00BD41EB" w:rsidRDefault="00BD41EB" w:rsidP="00BD41EB">
      <w:pPr>
        <w:widowControl w:val="0"/>
        <w:ind w:firstLine="709"/>
        <w:jc w:val="both"/>
        <w:rPr>
          <w:sz w:val="28"/>
          <w:szCs w:val="28"/>
        </w:rPr>
      </w:pPr>
      <w:r w:rsidRPr="00B204B8">
        <w:rPr>
          <w:sz w:val="28"/>
          <w:szCs w:val="28"/>
        </w:rPr>
        <w:t xml:space="preserve">Оленеводство отличается особой специфичностью, так как ведется на </w:t>
      </w:r>
      <w:r w:rsidR="00C176E7" w:rsidRPr="00B204B8">
        <w:rPr>
          <w:sz w:val="28"/>
          <w:szCs w:val="28"/>
        </w:rPr>
        <w:t>обширной</w:t>
      </w:r>
      <w:r w:rsidRPr="00B204B8">
        <w:rPr>
          <w:sz w:val="28"/>
          <w:szCs w:val="28"/>
        </w:rPr>
        <w:t xml:space="preserve"> территории в экстремальных природно-климатических условиях. В настоящее время оно обеспечивает потребности жителей края в мясе и шкурах для нужд коренного населения</w:t>
      </w:r>
      <w:r w:rsidR="00E70D96" w:rsidRPr="00B204B8">
        <w:rPr>
          <w:sz w:val="28"/>
          <w:szCs w:val="28"/>
        </w:rPr>
        <w:t xml:space="preserve"> и способствует повышению уровня</w:t>
      </w:r>
      <w:r w:rsidR="00124249" w:rsidRPr="00B204B8">
        <w:rPr>
          <w:sz w:val="28"/>
          <w:szCs w:val="28"/>
        </w:rPr>
        <w:t xml:space="preserve"> </w:t>
      </w:r>
      <w:r w:rsidRPr="00B204B8">
        <w:rPr>
          <w:sz w:val="28"/>
          <w:szCs w:val="28"/>
        </w:rPr>
        <w:t>занятост</w:t>
      </w:r>
      <w:r w:rsidR="00E70D96" w:rsidRPr="00B204B8">
        <w:rPr>
          <w:sz w:val="28"/>
          <w:szCs w:val="28"/>
        </w:rPr>
        <w:t>и</w:t>
      </w:r>
      <w:r w:rsidR="00A25541" w:rsidRPr="00B204B8">
        <w:rPr>
          <w:sz w:val="28"/>
          <w:szCs w:val="28"/>
        </w:rPr>
        <w:t xml:space="preserve"> населения севера.</w:t>
      </w:r>
    </w:p>
    <w:p w:rsidR="00B83A7A" w:rsidRPr="00B204B8" w:rsidRDefault="00B83A7A" w:rsidP="00B83A7A">
      <w:pPr>
        <w:widowControl w:val="0"/>
        <w:ind w:firstLine="709"/>
        <w:jc w:val="both"/>
        <w:rPr>
          <w:sz w:val="28"/>
          <w:szCs w:val="28"/>
        </w:rPr>
      </w:pPr>
      <w:r w:rsidRPr="00B83A7A">
        <w:rPr>
          <w:sz w:val="28"/>
          <w:szCs w:val="28"/>
        </w:rPr>
        <w:t>Сводный индекс показателя "Доля прибыльных сельскохозяйственных организаций в общем их числе" в разрезе городских округов и муниципальных районов в Камчатском крае сложился следующим образом</w:t>
      </w:r>
      <w:r w:rsidRPr="00B204B8">
        <w:rPr>
          <w:sz w:val="28"/>
          <w:szCs w:val="28"/>
        </w:rPr>
        <w:t xml:space="preserve"> (рисунок </w:t>
      </w:r>
      <w:r>
        <w:rPr>
          <w:sz w:val="28"/>
          <w:szCs w:val="28"/>
        </w:rPr>
        <w:t>3</w:t>
      </w:r>
      <w:r w:rsidRPr="00B204B8">
        <w:rPr>
          <w:sz w:val="28"/>
          <w:szCs w:val="28"/>
        </w:rPr>
        <w:t>)</w:t>
      </w:r>
      <w:r>
        <w:rPr>
          <w:sz w:val="28"/>
          <w:szCs w:val="28"/>
        </w:rPr>
        <w:t>:</w:t>
      </w:r>
      <w:r w:rsidRPr="00B204B8">
        <w:rPr>
          <w:sz w:val="28"/>
          <w:szCs w:val="28"/>
        </w:rPr>
        <w:t xml:space="preserve"> </w:t>
      </w:r>
    </w:p>
    <w:p w:rsidR="00E00800" w:rsidRDefault="00E00800" w:rsidP="00F018BC">
      <w:pPr>
        <w:widowControl w:val="0"/>
        <w:jc w:val="both"/>
        <w:rPr>
          <w:b/>
          <w:sz w:val="28"/>
          <w:szCs w:val="28"/>
        </w:rPr>
      </w:pPr>
    </w:p>
    <w:p w:rsidR="007B6BB8" w:rsidRPr="00B204B8" w:rsidRDefault="007B6BB8" w:rsidP="00F018BC">
      <w:pPr>
        <w:widowControl w:val="0"/>
        <w:jc w:val="both"/>
        <w:rPr>
          <w:b/>
          <w:sz w:val="28"/>
          <w:szCs w:val="28"/>
        </w:rPr>
      </w:pPr>
    </w:p>
    <w:p w:rsidR="00BD41EB" w:rsidRDefault="00E00800" w:rsidP="00F018BC">
      <w:pPr>
        <w:widowControl w:val="0"/>
        <w:jc w:val="both"/>
        <w:rPr>
          <w:b/>
          <w:sz w:val="28"/>
          <w:szCs w:val="28"/>
        </w:rPr>
      </w:pPr>
      <w:r w:rsidRPr="00B204B8">
        <w:rPr>
          <w:noProof/>
          <w:lang w:eastAsia="ru-RU"/>
        </w:rPr>
        <w:drawing>
          <wp:inline distT="0" distB="0" distL="0" distR="0" wp14:anchorId="43C8A517" wp14:editId="03722D2A">
            <wp:extent cx="5940425" cy="3879762"/>
            <wp:effectExtent l="0" t="0" r="3175" b="698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20159" w:rsidRDefault="00120159" w:rsidP="007B6BB8">
      <w:pPr>
        <w:widowControl w:val="0"/>
        <w:jc w:val="center"/>
        <w:rPr>
          <w:sz w:val="28"/>
          <w:szCs w:val="28"/>
        </w:rPr>
      </w:pPr>
    </w:p>
    <w:p w:rsidR="007B6BB8" w:rsidRPr="007B6BB8" w:rsidRDefault="007B6BB8" w:rsidP="007B6BB8">
      <w:pPr>
        <w:widowControl w:val="0"/>
        <w:jc w:val="center"/>
        <w:rPr>
          <w:sz w:val="28"/>
          <w:szCs w:val="28"/>
        </w:rPr>
      </w:pPr>
      <w:r w:rsidRPr="007B6BB8">
        <w:rPr>
          <w:sz w:val="28"/>
          <w:szCs w:val="28"/>
        </w:rPr>
        <w:t>Рисунок 3</w:t>
      </w:r>
    </w:p>
    <w:p w:rsidR="007B6BB8" w:rsidRPr="00B204B8" w:rsidRDefault="007B6BB8" w:rsidP="00F018BC">
      <w:pPr>
        <w:widowControl w:val="0"/>
        <w:jc w:val="both"/>
        <w:rPr>
          <w:b/>
          <w:sz w:val="28"/>
          <w:szCs w:val="28"/>
        </w:rPr>
      </w:pPr>
    </w:p>
    <w:p w:rsidR="00BD41EB" w:rsidRPr="00B204B8" w:rsidRDefault="00BD41EB" w:rsidP="001271CA">
      <w:pPr>
        <w:widowControl w:val="0"/>
        <w:ind w:firstLine="567"/>
        <w:jc w:val="both"/>
        <w:rPr>
          <w:sz w:val="28"/>
          <w:szCs w:val="28"/>
        </w:rPr>
      </w:pPr>
      <w:r w:rsidRPr="00B204B8">
        <w:rPr>
          <w:sz w:val="28"/>
          <w:szCs w:val="28"/>
        </w:rPr>
        <w:t>Наибольшие значения объема сельскохозяйственной продукции и сводного индекса доли прибыльных сельскохозяйственных предприятий достигли:</w:t>
      </w:r>
    </w:p>
    <w:p w:rsidR="000116EE" w:rsidRPr="00B204B8" w:rsidRDefault="000116EE" w:rsidP="000116EE">
      <w:pPr>
        <w:widowControl w:val="0"/>
        <w:ind w:firstLine="709"/>
        <w:jc w:val="both"/>
        <w:rPr>
          <w:sz w:val="28"/>
          <w:szCs w:val="28"/>
        </w:rPr>
      </w:pPr>
      <w:r w:rsidRPr="00B204B8">
        <w:rPr>
          <w:sz w:val="28"/>
          <w:szCs w:val="28"/>
        </w:rPr>
        <w:t>Муниципальные районы</w:t>
      </w:r>
    </w:p>
    <w:p w:rsidR="000116EE" w:rsidRPr="00B204B8" w:rsidRDefault="000116EE" w:rsidP="000116EE">
      <w:pPr>
        <w:widowControl w:val="0"/>
        <w:ind w:firstLine="709"/>
        <w:jc w:val="both"/>
        <w:rPr>
          <w:sz w:val="28"/>
          <w:szCs w:val="28"/>
        </w:rPr>
      </w:pPr>
      <w:r w:rsidRPr="00B204B8">
        <w:rPr>
          <w:sz w:val="28"/>
          <w:szCs w:val="28"/>
        </w:rPr>
        <w:t>1) Тигильский</w:t>
      </w:r>
    </w:p>
    <w:p w:rsidR="000116EE" w:rsidRPr="00B204B8" w:rsidRDefault="000116EE" w:rsidP="000116EE">
      <w:pPr>
        <w:widowControl w:val="0"/>
        <w:ind w:firstLine="709"/>
        <w:jc w:val="both"/>
        <w:rPr>
          <w:sz w:val="28"/>
          <w:szCs w:val="28"/>
        </w:rPr>
      </w:pPr>
      <w:r w:rsidRPr="00B204B8">
        <w:rPr>
          <w:sz w:val="28"/>
          <w:szCs w:val="28"/>
        </w:rPr>
        <w:t xml:space="preserve">2) </w:t>
      </w:r>
      <w:r w:rsidR="00452BE1" w:rsidRPr="00B204B8">
        <w:rPr>
          <w:sz w:val="28"/>
          <w:szCs w:val="28"/>
        </w:rPr>
        <w:t>Мильковский</w:t>
      </w:r>
    </w:p>
    <w:p w:rsidR="000116EE" w:rsidRPr="00B204B8" w:rsidRDefault="000116EE" w:rsidP="000116EE">
      <w:pPr>
        <w:widowControl w:val="0"/>
        <w:ind w:firstLine="709"/>
        <w:jc w:val="both"/>
        <w:rPr>
          <w:sz w:val="28"/>
          <w:szCs w:val="28"/>
        </w:rPr>
      </w:pPr>
      <w:r w:rsidRPr="00B204B8">
        <w:rPr>
          <w:sz w:val="28"/>
          <w:szCs w:val="28"/>
        </w:rPr>
        <w:t xml:space="preserve">3) </w:t>
      </w:r>
      <w:r w:rsidR="00452BE1" w:rsidRPr="00B204B8">
        <w:rPr>
          <w:sz w:val="28"/>
          <w:szCs w:val="28"/>
        </w:rPr>
        <w:t>Елизовский</w:t>
      </w:r>
    </w:p>
    <w:p w:rsidR="000116EE" w:rsidRPr="00B204B8" w:rsidRDefault="000116EE" w:rsidP="000116EE">
      <w:pPr>
        <w:widowControl w:val="0"/>
        <w:ind w:firstLine="709"/>
        <w:jc w:val="both"/>
        <w:rPr>
          <w:sz w:val="28"/>
          <w:szCs w:val="28"/>
        </w:rPr>
      </w:pPr>
      <w:r w:rsidRPr="00B204B8">
        <w:rPr>
          <w:sz w:val="28"/>
          <w:szCs w:val="28"/>
        </w:rPr>
        <w:t>Городской округ</w:t>
      </w:r>
    </w:p>
    <w:p w:rsidR="000116EE" w:rsidRPr="00B204B8" w:rsidRDefault="000116EE" w:rsidP="000116EE">
      <w:pPr>
        <w:pStyle w:val="a3"/>
        <w:widowControl w:val="0"/>
        <w:numPr>
          <w:ilvl w:val="0"/>
          <w:numId w:val="4"/>
        </w:numPr>
        <w:jc w:val="both"/>
        <w:rPr>
          <w:rFonts w:ascii="Times New Roman" w:hAnsi="Times New Roman"/>
          <w:sz w:val="28"/>
          <w:szCs w:val="28"/>
        </w:rPr>
      </w:pPr>
      <w:r w:rsidRPr="00B204B8">
        <w:rPr>
          <w:rFonts w:ascii="Times New Roman" w:eastAsia="SimSun" w:hAnsi="Times New Roman"/>
          <w:sz w:val="28"/>
          <w:szCs w:val="28"/>
          <w:lang w:eastAsia="zh-CN"/>
        </w:rPr>
        <w:t xml:space="preserve">Петропавловск – Камчатский, </w:t>
      </w:r>
      <w:r w:rsidR="001C769D" w:rsidRPr="00B204B8">
        <w:rPr>
          <w:rFonts w:ascii="Times New Roman" w:eastAsia="SimSun" w:hAnsi="Times New Roman"/>
          <w:sz w:val="28"/>
          <w:szCs w:val="28"/>
          <w:lang w:eastAsia="zh-CN"/>
        </w:rPr>
        <w:t xml:space="preserve">п. </w:t>
      </w:r>
      <w:r w:rsidRPr="00B204B8">
        <w:rPr>
          <w:rFonts w:ascii="Times New Roman" w:hAnsi="Times New Roman"/>
          <w:sz w:val="28"/>
          <w:szCs w:val="28"/>
        </w:rPr>
        <w:t>Палана</w:t>
      </w:r>
    </w:p>
    <w:p w:rsidR="000C0B4B" w:rsidRDefault="000C0B4B" w:rsidP="00C54FF8">
      <w:pPr>
        <w:widowControl w:val="0"/>
        <w:shd w:val="clear" w:color="auto" w:fill="FFFFFF"/>
        <w:ind w:firstLine="709"/>
        <w:jc w:val="center"/>
        <w:rPr>
          <w:b/>
          <w:i/>
          <w:sz w:val="28"/>
          <w:szCs w:val="28"/>
          <w:lang w:val="en-US"/>
        </w:rPr>
      </w:pPr>
    </w:p>
    <w:p w:rsidR="00A25541" w:rsidRPr="00B204B8" w:rsidRDefault="00C465E4" w:rsidP="00C54FF8">
      <w:pPr>
        <w:widowControl w:val="0"/>
        <w:shd w:val="clear" w:color="auto" w:fill="FFFFFF"/>
        <w:ind w:firstLine="709"/>
        <w:jc w:val="center"/>
        <w:rPr>
          <w:b/>
          <w:i/>
          <w:sz w:val="28"/>
          <w:szCs w:val="28"/>
        </w:rPr>
      </w:pPr>
      <w:r w:rsidRPr="00B204B8">
        <w:rPr>
          <w:b/>
          <w:i/>
          <w:sz w:val="28"/>
          <w:szCs w:val="28"/>
        </w:rPr>
        <w:t>Дорожное хозяйство и транспорт</w:t>
      </w:r>
    </w:p>
    <w:p w:rsidR="00C54FF8" w:rsidRPr="00B204B8" w:rsidRDefault="00C54FF8" w:rsidP="00C54FF8">
      <w:pPr>
        <w:widowControl w:val="0"/>
        <w:shd w:val="clear" w:color="auto" w:fill="FFFFFF"/>
        <w:ind w:firstLine="709"/>
        <w:jc w:val="center"/>
        <w:rPr>
          <w:b/>
          <w:i/>
          <w:sz w:val="28"/>
          <w:szCs w:val="28"/>
        </w:rPr>
      </w:pPr>
    </w:p>
    <w:p w:rsidR="00DB61C8" w:rsidRPr="00B204B8" w:rsidRDefault="001271CA" w:rsidP="00727A1A">
      <w:pPr>
        <w:ind w:firstLine="567"/>
        <w:jc w:val="both"/>
        <w:rPr>
          <w:sz w:val="28"/>
          <w:szCs w:val="28"/>
        </w:rPr>
      </w:pPr>
      <w:r w:rsidRPr="00B204B8">
        <w:rPr>
          <w:sz w:val="28"/>
          <w:szCs w:val="28"/>
        </w:rPr>
        <w:t xml:space="preserve">  </w:t>
      </w:r>
      <w:r w:rsidR="00DB61C8" w:rsidRPr="00B204B8">
        <w:rPr>
          <w:sz w:val="28"/>
          <w:szCs w:val="28"/>
        </w:rPr>
        <w:t xml:space="preserve">Современная транспортная система полуострова объединяет в себе воздушный, автомобильный и водный виды транспорта, выполняющие перевозочные функции. </w:t>
      </w:r>
    </w:p>
    <w:p w:rsidR="00D511C5" w:rsidRPr="00B204B8" w:rsidRDefault="00D511C5" w:rsidP="00D511C5">
      <w:pPr>
        <w:widowControl w:val="0"/>
        <w:ind w:firstLine="709"/>
        <w:jc w:val="both"/>
        <w:rPr>
          <w:sz w:val="28"/>
          <w:szCs w:val="28"/>
        </w:rPr>
      </w:pPr>
      <w:r w:rsidRPr="00B204B8">
        <w:rPr>
          <w:sz w:val="28"/>
          <w:szCs w:val="28"/>
        </w:rPr>
        <w:t>Сформирова</w:t>
      </w:r>
      <w:r w:rsidR="007A0AAC" w:rsidRPr="00B204B8">
        <w:rPr>
          <w:sz w:val="28"/>
          <w:szCs w:val="28"/>
        </w:rPr>
        <w:t>вшаяся</w:t>
      </w:r>
      <w:r w:rsidRPr="00B204B8">
        <w:rPr>
          <w:sz w:val="28"/>
          <w:szCs w:val="28"/>
        </w:rPr>
        <w:t xml:space="preserve"> транспортная система региона характеризуется: </w:t>
      </w:r>
    </w:p>
    <w:p w:rsidR="00D511C5" w:rsidRPr="00B204B8" w:rsidRDefault="00D511C5" w:rsidP="00D511C5">
      <w:pPr>
        <w:widowControl w:val="0"/>
        <w:jc w:val="both"/>
        <w:rPr>
          <w:sz w:val="28"/>
          <w:szCs w:val="28"/>
        </w:rPr>
      </w:pPr>
      <w:r w:rsidRPr="00B204B8">
        <w:rPr>
          <w:sz w:val="28"/>
          <w:szCs w:val="28"/>
        </w:rPr>
        <w:t xml:space="preserve">- </w:t>
      </w:r>
      <w:r w:rsidR="005F0142">
        <w:rPr>
          <w:sz w:val="28"/>
          <w:szCs w:val="28"/>
        </w:rPr>
        <w:t>высокой степенью износа</w:t>
      </w:r>
      <w:r w:rsidRPr="00B204B8">
        <w:rPr>
          <w:sz w:val="28"/>
          <w:szCs w:val="28"/>
        </w:rPr>
        <w:t xml:space="preserve"> региональной сети автомобильных дорог; </w:t>
      </w:r>
    </w:p>
    <w:p w:rsidR="00D511C5" w:rsidRPr="00B204B8" w:rsidRDefault="00D511C5" w:rsidP="00D511C5">
      <w:pPr>
        <w:widowControl w:val="0"/>
        <w:jc w:val="both"/>
        <w:rPr>
          <w:sz w:val="28"/>
          <w:szCs w:val="28"/>
        </w:rPr>
      </w:pPr>
      <w:r w:rsidRPr="00B204B8">
        <w:rPr>
          <w:sz w:val="28"/>
          <w:szCs w:val="28"/>
        </w:rPr>
        <w:t xml:space="preserve">- </w:t>
      </w:r>
      <w:r w:rsidR="00A71ABD">
        <w:rPr>
          <w:sz w:val="28"/>
          <w:szCs w:val="28"/>
        </w:rPr>
        <w:t xml:space="preserve">высокой степенью износа </w:t>
      </w:r>
      <w:r w:rsidR="005E2DCB">
        <w:rPr>
          <w:sz w:val="28"/>
          <w:szCs w:val="28"/>
        </w:rPr>
        <w:t xml:space="preserve">объектов </w:t>
      </w:r>
      <w:r w:rsidRPr="00B204B8">
        <w:rPr>
          <w:sz w:val="28"/>
          <w:szCs w:val="28"/>
        </w:rPr>
        <w:t xml:space="preserve">инфраструктуры портопунктов; </w:t>
      </w:r>
    </w:p>
    <w:p w:rsidR="00D511C5" w:rsidRPr="00B204B8" w:rsidRDefault="00D511C5" w:rsidP="00D511C5">
      <w:pPr>
        <w:widowControl w:val="0"/>
        <w:jc w:val="both"/>
        <w:rPr>
          <w:sz w:val="28"/>
          <w:szCs w:val="28"/>
        </w:rPr>
      </w:pPr>
      <w:r w:rsidRPr="00B204B8">
        <w:rPr>
          <w:sz w:val="28"/>
          <w:szCs w:val="28"/>
        </w:rPr>
        <w:t xml:space="preserve">- отсутствием железнодорожного и внутреннего водного сообщения; </w:t>
      </w:r>
    </w:p>
    <w:p w:rsidR="00D511C5" w:rsidRPr="00B204B8" w:rsidRDefault="00D511C5" w:rsidP="00D511C5">
      <w:pPr>
        <w:widowControl w:val="0"/>
        <w:jc w:val="both"/>
        <w:rPr>
          <w:sz w:val="28"/>
          <w:szCs w:val="28"/>
        </w:rPr>
      </w:pPr>
      <w:r w:rsidRPr="00B204B8">
        <w:rPr>
          <w:sz w:val="28"/>
          <w:szCs w:val="28"/>
        </w:rPr>
        <w:t xml:space="preserve">- отсутствием выхода на опорную сеть автомобильных дорог России; </w:t>
      </w:r>
    </w:p>
    <w:p w:rsidR="00D511C5" w:rsidRPr="00B204B8" w:rsidRDefault="00D511C5" w:rsidP="00D511C5">
      <w:pPr>
        <w:widowControl w:val="0"/>
        <w:jc w:val="both"/>
        <w:rPr>
          <w:sz w:val="28"/>
          <w:szCs w:val="28"/>
        </w:rPr>
      </w:pPr>
      <w:r w:rsidRPr="00B204B8">
        <w:rPr>
          <w:sz w:val="28"/>
          <w:szCs w:val="28"/>
        </w:rPr>
        <w:t xml:space="preserve">- необходимостью  отвлечения  значительных  финансовых  ресурсов  на создание запасов топлива, продовольствия и других материалов. </w:t>
      </w:r>
    </w:p>
    <w:p w:rsidR="000E6A17" w:rsidRPr="00B204B8" w:rsidRDefault="000E6A17" w:rsidP="00727A1A">
      <w:pPr>
        <w:ind w:firstLine="567"/>
        <w:jc w:val="both"/>
        <w:rPr>
          <w:sz w:val="28"/>
          <w:szCs w:val="28"/>
        </w:rPr>
      </w:pPr>
      <w:r w:rsidRPr="00B204B8">
        <w:rPr>
          <w:sz w:val="28"/>
          <w:szCs w:val="28"/>
        </w:rPr>
        <w:t xml:space="preserve">Основой совершенствования транспортной системы в Камчатском крае является снижение транспортной составляющей стоимости товаров, работ и услуг, а также расширение </w:t>
      </w:r>
      <w:r w:rsidR="00962F5A" w:rsidRPr="00B204B8">
        <w:rPr>
          <w:sz w:val="28"/>
          <w:szCs w:val="28"/>
        </w:rPr>
        <w:t xml:space="preserve">транспортной доступности. Для большинства муниципальных районов региона потребительский рынок полностью зависит от внешнего завоза. Удельный вес транспортных расходов в стоимости потребительских товаров составляет более половины, а по отдельным товарам – более двух третей. </w:t>
      </w:r>
    </w:p>
    <w:p w:rsidR="00DB61C8" w:rsidRPr="00B204B8" w:rsidRDefault="00DB61C8" w:rsidP="00DB61C8">
      <w:pPr>
        <w:ind w:firstLine="709"/>
        <w:jc w:val="both"/>
        <w:rPr>
          <w:sz w:val="28"/>
          <w:szCs w:val="28"/>
        </w:rPr>
      </w:pPr>
      <w:r w:rsidRPr="00B204B8">
        <w:rPr>
          <w:sz w:val="28"/>
          <w:szCs w:val="28"/>
        </w:rPr>
        <w:t>Ведущее место в перевозке грузов по региону принадлежит водному транспорту, морским портам и портопунктам, которые обеспечивают около 70,0 % всего грузооборота для хозяйственного комплекса Камчатского края. Полуостров Камчатка имеет одну из самых протяжённых береговых линий среди субъектов Российской Федерации, практически каждый из прибрежных поселков имеет морскую инфраструктуру (портопункты, причальные сооружения).</w:t>
      </w:r>
    </w:p>
    <w:p w:rsidR="00193D65" w:rsidRPr="00B204B8" w:rsidRDefault="00F54EED" w:rsidP="00193D65">
      <w:pPr>
        <w:autoSpaceDE w:val="0"/>
        <w:autoSpaceDN w:val="0"/>
        <w:adjustRightInd w:val="0"/>
        <w:ind w:firstLine="720"/>
        <w:jc w:val="both"/>
        <w:rPr>
          <w:sz w:val="28"/>
          <w:szCs w:val="28"/>
        </w:rPr>
      </w:pPr>
      <w:r w:rsidRPr="00B204B8">
        <w:rPr>
          <w:sz w:val="28"/>
          <w:szCs w:val="28"/>
        </w:rPr>
        <w:t>Из-за сложных климатических условий морская навигация имеет сезонный характер (с апреля по ноябрь). Именно в этот период завозится основная масса груза в отдаленные районы края.</w:t>
      </w:r>
    </w:p>
    <w:p w:rsidR="00193D65" w:rsidRPr="00B204B8" w:rsidRDefault="00193D65" w:rsidP="00193D65">
      <w:pPr>
        <w:autoSpaceDE w:val="0"/>
        <w:autoSpaceDN w:val="0"/>
        <w:adjustRightInd w:val="0"/>
        <w:ind w:firstLine="720"/>
        <w:jc w:val="both"/>
        <w:rPr>
          <w:sz w:val="28"/>
          <w:szCs w:val="28"/>
        </w:rPr>
      </w:pPr>
      <w:r w:rsidRPr="00B204B8">
        <w:rPr>
          <w:sz w:val="28"/>
          <w:szCs w:val="28"/>
        </w:rPr>
        <w:t xml:space="preserve"> В 2014 году в рамках реализации государственной программы «Развитие транспортной системы в Камчатском крае на 2014 – 2025 годы» при</w:t>
      </w:r>
      <w:r w:rsidRPr="00B204B8">
        <w:rPr>
          <w:sz w:val="28"/>
          <w:szCs w:val="28"/>
        </w:rPr>
        <w:softHyphen/>
        <w:t>обретено грузопассажирское судно «Василий Завойко</w:t>
      </w:r>
      <w:r w:rsidR="003F6CAB" w:rsidRPr="00B204B8">
        <w:rPr>
          <w:sz w:val="28"/>
          <w:szCs w:val="28"/>
        </w:rPr>
        <w:t>»</w:t>
      </w:r>
      <w:r w:rsidRPr="00B204B8">
        <w:rPr>
          <w:sz w:val="28"/>
          <w:szCs w:val="28"/>
        </w:rPr>
        <w:t>. В навигацию 2014 года судно выполняло рейсы по доставке пассажиров и груза в отдалённые районы Камчатского края (портопункты Каменское, Тиличики, Никольское), выполнено 7 рейсов, перевезено 346,92 тонн груза и 202 пассажира.</w:t>
      </w:r>
    </w:p>
    <w:p w:rsidR="00193D65" w:rsidRPr="00B204B8" w:rsidRDefault="00193D65" w:rsidP="00193D65">
      <w:pPr>
        <w:autoSpaceDE w:val="0"/>
        <w:autoSpaceDN w:val="0"/>
        <w:adjustRightInd w:val="0"/>
        <w:ind w:firstLine="720"/>
        <w:jc w:val="both"/>
        <w:rPr>
          <w:sz w:val="28"/>
          <w:szCs w:val="28"/>
        </w:rPr>
      </w:pPr>
      <w:r w:rsidRPr="00B204B8">
        <w:rPr>
          <w:sz w:val="28"/>
          <w:szCs w:val="28"/>
        </w:rPr>
        <w:t>Не оставлено без внимания развитие межмуниципальных перевозок. В этих целях в 2014 году амфибийные вездеходы на воздушной подушке «Арктика-2ДК» переданы администрациям Олюторского и Пенжинского муниципальных районов.</w:t>
      </w:r>
    </w:p>
    <w:p w:rsidR="00C01C2D" w:rsidRPr="00B204B8" w:rsidRDefault="00C01C2D" w:rsidP="00C01C2D">
      <w:pPr>
        <w:ind w:firstLine="709"/>
        <w:jc w:val="both"/>
        <w:rPr>
          <w:sz w:val="28"/>
          <w:szCs w:val="28"/>
        </w:rPr>
      </w:pPr>
      <w:r w:rsidRPr="00B204B8">
        <w:rPr>
          <w:sz w:val="28"/>
          <w:szCs w:val="28"/>
        </w:rPr>
        <w:t xml:space="preserve">В 2014 году начато строительство Морского вокзала в порту Петропавловск-Камчатский (сдача объекта запланирована в 2017 году). Как результат </w:t>
      </w:r>
      <w:r w:rsidR="00603C3F">
        <w:rPr>
          <w:sz w:val="28"/>
          <w:szCs w:val="28"/>
        </w:rPr>
        <w:t xml:space="preserve">повысится качество обслуживания пассажиров, следующих </w:t>
      </w:r>
      <w:r w:rsidRPr="00B204B8">
        <w:rPr>
          <w:sz w:val="28"/>
          <w:szCs w:val="28"/>
        </w:rPr>
        <w:t xml:space="preserve">по </w:t>
      </w:r>
      <w:r w:rsidRPr="00B204B8">
        <w:rPr>
          <w:sz w:val="28"/>
          <w:szCs w:val="28"/>
        </w:rPr>
        <w:lastRenderedPageBreak/>
        <w:t>межмуниципальным направлени</w:t>
      </w:r>
      <w:r w:rsidR="00EA79CD" w:rsidRPr="00B204B8">
        <w:rPr>
          <w:sz w:val="28"/>
          <w:szCs w:val="28"/>
        </w:rPr>
        <w:t xml:space="preserve">ям </w:t>
      </w:r>
      <w:r w:rsidR="00814192">
        <w:rPr>
          <w:sz w:val="28"/>
          <w:szCs w:val="28"/>
        </w:rPr>
        <w:t>и по</w:t>
      </w:r>
      <w:r w:rsidR="004C6259">
        <w:rPr>
          <w:sz w:val="28"/>
          <w:szCs w:val="28"/>
        </w:rPr>
        <w:t xml:space="preserve"> </w:t>
      </w:r>
      <w:r w:rsidRPr="00B204B8">
        <w:rPr>
          <w:sz w:val="28"/>
          <w:szCs w:val="28"/>
        </w:rPr>
        <w:t>межрегиональным маршрутам между полуостровом Камчатка, портами Сахалина, Магаданской области, Приморского края и портопунктами Курильских островов.</w:t>
      </w:r>
    </w:p>
    <w:p w:rsidR="007F1842" w:rsidRPr="00B204B8" w:rsidRDefault="00EA79CD" w:rsidP="00EA79CD">
      <w:pPr>
        <w:tabs>
          <w:tab w:val="left" w:pos="567"/>
        </w:tabs>
        <w:ind w:firstLine="540"/>
        <w:jc w:val="both"/>
        <w:rPr>
          <w:sz w:val="28"/>
          <w:szCs w:val="28"/>
        </w:rPr>
      </w:pPr>
      <w:r w:rsidRPr="00B204B8">
        <w:rPr>
          <w:sz w:val="28"/>
          <w:szCs w:val="28"/>
        </w:rPr>
        <w:t xml:space="preserve">  В условиях большой удаленности и разрозненности населенных пунктов Камчатского края  друг</w:t>
      </w:r>
      <w:r w:rsidR="00317767" w:rsidRPr="00B204B8">
        <w:rPr>
          <w:sz w:val="28"/>
          <w:szCs w:val="28"/>
        </w:rPr>
        <w:t xml:space="preserve"> от</w:t>
      </w:r>
      <w:r w:rsidRPr="00B204B8">
        <w:rPr>
          <w:sz w:val="28"/>
          <w:szCs w:val="28"/>
        </w:rPr>
        <w:t xml:space="preserve"> друга и от краевого центра, сложный горный рельеф местности воздушный транспорт на территории региона является важ</w:t>
      </w:r>
      <w:r w:rsidR="00317767" w:rsidRPr="00B204B8">
        <w:rPr>
          <w:sz w:val="28"/>
          <w:szCs w:val="28"/>
        </w:rPr>
        <w:t>нейшей составляющей пассажирской транспортной системы.</w:t>
      </w:r>
      <w:r w:rsidR="007F1842" w:rsidRPr="00B204B8">
        <w:rPr>
          <w:sz w:val="28"/>
          <w:szCs w:val="28"/>
        </w:rPr>
        <w:t xml:space="preserve"> Приходится констатировать, что из-за неразвитой сети автомобильных дорог Камчатского края и отсутствия линий морских пассажирских перевозок, для жителей многих труднодоступных населенных пунктов края авиация является единственным средством транспорта, позволяющим добраться до районного или краевого центра.</w:t>
      </w:r>
    </w:p>
    <w:p w:rsidR="00A409D0" w:rsidRPr="00B204B8" w:rsidRDefault="00A409D0" w:rsidP="00A409D0">
      <w:pPr>
        <w:ind w:firstLine="709"/>
        <w:jc w:val="both"/>
        <w:rPr>
          <w:sz w:val="28"/>
          <w:szCs w:val="28"/>
        </w:rPr>
      </w:pPr>
      <w:r w:rsidRPr="00B204B8">
        <w:rPr>
          <w:sz w:val="28"/>
          <w:szCs w:val="28"/>
        </w:rPr>
        <w:t xml:space="preserve">На территории Камчатского края в государственном реестре зарегистрированы 1 аэропорт федерального значения «Петропавловск-Камчатский», 12 аэродромов местных воздушных линий (МВЛ), 4 вертодрома, </w:t>
      </w:r>
      <w:r w:rsidR="00B26A2C" w:rsidRPr="00B204B8">
        <w:rPr>
          <w:sz w:val="28"/>
          <w:szCs w:val="28"/>
        </w:rPr>
        <w:t>8 посадочных площадок</w:t>
      </w:r>
      <w:r w:rsidRPr="00B204B8">
        <w:rPr>
          <w:sz w:val="28"/>
          <w:szCs w:val="28"/>
        </w:rPr>
        <w:t>.</w:t>
      </w:r>
    </w:p>
    <w:p w:rsidR="00B26A2C" w:rsidRPr="00B204B8" w:rsidRDefault="00B26A2C" w:rsidP="00A409D0">
      <w:pPr>
        <w:ind w:firstLine="709"/>
        <w:jc w:val="both"/>
        <w:rPr>
          <w:sz w:val="28"/>
          <w:szCs w:val="28"/>
        </w:rPr>
      </w:pPr>
      <w:r w:rsidRPr="00B204B8">
        <w:rPr>
          <w:sz w:val="28"/>
          <w:szCs w:val="28"/>
        </w:rPr>
        <w:t xml:space="preserve">Аэропорт «Петропавловск-Камчатский» имеет статус федерального значения, способный принимать все типы воздушных судов и обеспечивать функционирование регулярных авиапассажирских и грузовых перевозок всех видов (международных, межрегиональных и местных). </w:t>
      </w:r>
    </w:p>
    <w:p w:rsidR="00A409D0" w:rsidRPr="00B204B8" w:rsidRDefault="00A409D0" w:rsidP="00A409D0">
      <w:pPr>
        <w:ind w:firstLine="709"/>
        <w:jc w:val="both"/>
        <w:rPr>
          <w:sz w:val="28"/>
          <w:szCs w:val="28"/>
        </w:rPr>
      </w:pPr>
      <w:r w:rsidRPr="00B204B8">
        <w:rPr>
          <w:sz w:val="28"/>
          <w:szCs w:val="28"/>
        </w:rPr>
        <w:t>В рамках модернизации сети аэропортов на территории Камчатского края в 2014 году завершён первый этап строительства взлётно-посадочной полосы в аэропорту «Палана».</w:t>
      </w:r>
    </w:p>
    <w:p w:rsidR="00083B8E" w:rsidRPr="00B204B8" w:rsidRDefault="00B87602" w:rsidP="00A409D0">
      <w:pPr>
        <w:ind w:firstLine="709"/>
        <w:jc w:val="both"/>
        <w:rPr>
          <w:sz w:val="28"/>
          <w:szCs w:val="28"/>
        </w:rPr>
      </w:pPr>
      <w:r w:rsidRPr="00B204B8">
        <w:rPr>
          <w:sz w:val="28"/>
          <w:szCs w:val="28"/>
        </w:rPr>
        <w:t xml:space="preserve">Сформировавшаяся сеть автомобильных дорог в Камчатском крае не в состоянии обеспечить круглогодичное автотранспортное сообщение наиболее развитых в экономическом отношении южных и центральных районов с его северной частью. </w:t>
      </w:r>
      <w:r w:rsidR="00083B8E" w:rsidRPr="00B204B8">
        <w:rPr>
          <w:sz w:val="28"/>
          <w:szCs w:val="28"/>
        </w:rPr>
        <w:t>Регулярное автомобильное сообщение отсутствует между районным центром и населенными пунктами: Алеутского, Карагинского, Олюторского, Пенжинского, Тигильского, Усть-Большерецкого, Усть-Камчатск</w:t>
      </w:r>
      <w:r w:rsidR="003774FE">
        <w:rPr>
          <w:sz w:val="28"/>
          <w:szCs w:val="28"/>
        </w:rPr>
        <w:t xml:space="preserve">ого районов и городского округа п. </w:t>
      </w:r>
      <w:r w:rsidR="00083B8E" w:rsidRPr="00B204B8">
        <w:rPr>
          <w:sz w:val="28"/>
          <w:szCs w:val="28"/>
        </w:rPr>
        <w:t xml:space="preserve">Палана. </w:t>
      </w:r>
      <w:r w:rsidR="005E5BF4" w:rsidRPr="00B204B8">
        <w:rPr>
          <w:sz w:val="28"/>
          <w:szCs w:val="28"/>
        </w:rPr>
        <w:t xml:space="preserve">Создание единой сети постоянных автомобильных дорог позволит существенно улучшить социально-экономическое положение в данных муниципальных образованиях, будет способствовать постепенному выравниванию условий жизни населения за счет снижения общего уровня цен на продовольственные и потребительские товары, позволит стабилизировать в конечном итоге (наряду с другими мероприятиями) общее экономическое положение. </w:t>
      </w:r>
    </w:p>
    <w:p w:rsidR="000E6A17" w:rsidRPr="00B204B8" w:rsidRDefault="005808B1" w:rsidP="00A409D0">
      <w:pPr>
        <w:ind w:firstLine="709"/>
        <w:jc w:val="both"/>
        <w:rPr>
          <w:sz w:val="28"/>
          <w:szCs w:val="28"/>
        </w:rPr>
      </w:pPr>
      <w:r w:rsidRPr="00B204B8">
        <w:rPr>
          <w:sz w:val="28"/>
          <w:szCs w:val="28"/>
        </w:rPr>
        <w:t>Деятельность органов местного самоуправления в сфере дорожного хозяйства направлена на</w:t>
      </w:r>
      <w:r w:rsidR="00D6324F" w:rsidRPr="00B204B8">
        <w:rPr>
          <w:sz w:val="28"/>
          <w:szCs w:val="28"/>
        </w:rPr>
        <w:t xml:space="preserve"> капитальный ремонт </w:t>
      </w:r>
      <w:r w:rsidRPr="00B204B8">
        <w:rPr>
          <w:sz w:val="28"/>
          <w:szCs w:val="28"/>
        </w:rPr>
        <w:t>автомобильных дорог,</w:t>
      </w:r>
      <w:r w:rsidR="00D6324F" w:rsidRPr="00B204B8">
        <w:rPr>
          <w:sz w:val="28"/>
          <w:szCs w:val="28"/>
        </w:rPr>
        <w:t xml:space="preserve"> улучшение условий предоставления транспортных услуг населению и организации транспортного обслуживания населения в границах муниципальных образований. </w:t>
      </w:r>
      <w:r w:rsidRPr="00B204B8">
        <w:rPr>
          <w:sz w:val="28"/>
          <w:szCs w:val="28"/>
        </w:rPr>
        <w:t xml:space="preserve">  </w:t>
      </w:r>
    </w:p>
    <w:p w:rsidR="00FB7787" w:rsidRPr="00B204B8" w:rsidRDefault="00FB7787" w:rsidP="00FB7787">
      <w:pPr>
        <w:ind w:firstLine="709"/>
        <w:contextualSpacing/>
        <w:jc w:val="both"/>
        <w:rPr>
          <w:sz w:val="28"/>
          <w:szCs w:val="28"/>
        </w:rPr>
      </w:pPr>
      <w:r w:rsidRPr="00B204B8">
        <w:rPr>
          <w:sz w:val="28"/>
          <w:szCs w:val="28"/>
        </w:rPr>
        <w:t>Наиболее значимыми событиями в дорожной отрасли Камчатки за истекший год стали:</w:t>
      </w:r>
    </w:p>
    <w:p w:rsidR="00FB7787" w:rsidRPr="00B204B8" w:rsidRDefault="00FB7787" w:rsidP="00FB7787">
      <w:pPr>
        <w:ind w:firstLine="709"/>
        <w:contextualSpacing/>
        <w:jc w:val="both"/>
        <w:rPr>
          <w:sz w:val="28"/>
          <w:szCs w:val="28"/>
        </w:rPr>
      </w:pPr>
      <w:r w:rsidRPr="00B204B8">
        <w:rPr>
          <w:sz w:val="28"/>
          <w:szCs w:val="28"/>
        </w:rPr>
        <w:lastRenderedPageBreak/>
        <w:t>- завершение строительства трех мостовых  переходов, общей протяженностью 564,7 п.м., через реку Камчатка и ее протоки в п.</w:t>
      </w:r>
      <w:r w:rsidR="00E77943">
        <w:rPr>
          <w:sz w:val="28"/>
          <w:szCs w:val="28"/>
        </w:rPr>
        <w:t xml:space="preserve"> </w:t>
      </w:r>
      <w:r w:rsidRPr="00B204B8">
        <w:rPr>
          <w:sz w:val="28"/>
          <w:szCs w:val="28"/>
        </w:rPr>
        <w:t>Ключи. Тем самым обеспечено круглогодичное автомобильное сообщение между краевым центром и районным центром Усть-Камчатского муниципального района п</w:t>
      </w:r>
      <w:r w:rsidR="00E77943">
        <w:rPr>
          <w:sz w:val="28"/>
          <w:szCs w:val="28"/>
        </w:rPr>
        <w:t xml:space="preserve">. </w:t>
      </w:r>
      <w:r w:rsidRPr="00B204B8">
        <w:rPr>
          <w:sz w:val="28"/>
          <w:szCs w:val="28"/>
        </w:rPr>
        <w:t xml:space="preserve">Усть-Камчатск. </w:t>
      </w:r>
    </w:p>
    <w:p w:rsidR="00FB7787" w:rsidRPr="00B204B8" w:rsidRDefault="00FB7787" w:rsidP="00FB7787">
      <w:pPr>
        <w:ind w:firstLine="709"/>
        <w:contextualSpacing/>
        <w:jc w:val="both"/>
        <w:rPr>
          <w:sz w:val="28"/>
          <w:szCs w:val="28"/>
        </w:rPr>
      </w:pPr>
      <w:r w:rsidRPr="00B204B8">
        <w:rPr>
          <w:sz w:val="28"/>
          <w:szCs w:val="28"/>
        </w:rPr>
        <w:t>- завершение строительства участка км 308</w:t>
      </w:r>
      <w:r w:rsidR="00262764" w:rsidRPr="00B204B8">
        <w:rPr>
          <w:sz w:val="28"/>
          <w:szCs w:val="28"/>
        </w:rPr>
        <w:t xml:space="preserve"> </w:t>
      </w:r>
      <w:r w:rsidRPr="00B204B8">
        <w:rPr>
          <w:sz w:val="28"/>
          <w:szCs w:val="28"/>
        </w:rPr>
        <w:t>- км 350 автозимника продленного действия п.</w:t>
      </w:r>
      <w:r w:rsidR="00E77943">
        <w:rPr>
          <w:sz w:val="28"/>
          <w:szCs w:val="28"/>
        </w:rPr>
        <w:t xml:space="preserve"> </w:t>
      </w:r>
      <w:r w:rsidRPr="00B204B8">
        <w:rPr>
          <w:sz w:val="28"/>
          <w:szCs w:val="28"/>
        </w:rPr>
        <w:t>Анавгай-п.</w:t>
      </w:r>
      <w:r w:rsidR="00E77943">
        <w:rPr>
          <w:sz w:val="28"/>
          <w:szCs w:val="28"/>
        </w:rPr>
        <w:t xml:space="preserve"> </w:t>
      </w:r>
      <w:r w:rsidRPr="00B204B8">
        <w:rPr>
          <w:sz w:val="28"/>
          <w:szCs w:val="28"/>
        </w:rPr>
        <w:t>Палана, протяженностью 42 км. Впервые жители Тигильского района имеют возможность на личном автомобиле проехать за 4-5 часов из п.</w:t>
      </w:r>
      <w:r w:rsidR="00E77943">
        <w:rPr>
          <w:sz w:val="28"/>
          <w:szCs w:val="28"/>
        </w:rPr>
        <w:t xml:space="preserve"> </w:t>
      </w:r>
      <w:r w:rsidRPr="00B204B8">
        <w:rPr>
          <w:sz w:val="28"/>
          <w:szCs w:val="28"/>
        </w:rPr>
        <w:t>Тигиль в п.</w:t>
      </w:r>
      <w:r w:rsidR="00E77943">
        <w:rPr>
          <w:sz w:val="28"/>
          <w:szCs w:val="28"/>
        </w:rPr>
        <w:t xml:space="preserve"> </w:t>
      </w:r>
      <w:r w:rsidRPr="00B204B8">
        <w:rPr>
          <w:sz w:val="28"/>
          <w:szCs w:val="28"/>
        </w:rPr>
        <w:t>Палана в любое время года.</w:t>
      </w:r>
    </w:p>
    <w:p w:rsidR="00BD41EB" w:rsidRPr="00B204B8" w:rsidRDefault="00BD41EB" w:rsidP="00800A97">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При проведении комплексной оценки значений показателей</w:t>
      </w:r>
      <w:r w:rsidR="00BA0B75" w:rsidRPr="00B204B8">
        <w:rPr>
          <w:sz w:val="28"/>
          <w:szCs w:val="28"/>
        </w:rPr>
        <w:t>,</w:t>
      </w:r>
      <w:r w:rsidRPr="00B204B8">
        <w:rPr>
          <w:sz w:val="28"/>
          <w:szCs w:val="28"/>
        </w:rPr>
        <w:t xml:space="preserve"> характеризующих экономическое развитие городских округов и муниципальных районов в Камчатском крае</w:t>
      </w:r>
      <w:r w:rsidR="00301E4D">
        <w:rPr>
          <w:sz w:val="28"/>
          <w:szCs w:val="28"/>
        </w:rPr>
        <w:t>,</w:t>
      </w:r>
      <w:r w:rsidRPr="00B204B8">
        <w:rPr>
          <w:sz w:val="28"/>
          <w:szCs w:val="28"/>
        </w:rPr>
        <w:t xml:space="preserve"> значения сводных индексов показателей сложились следующим образом (рисунок </w:t>
      </w:r>
      <w:r w:rsidR="005C0C29" w:rsidRPr="00B204B8">
        <w:rPr>
          <w:sz w:val="28"/>
          <w:szCs w:val="28"/>
        </w:rPr>
        <w:t>4,5</w:t>
      </w:r>
      <w:r w:rsidRPr="00B204B8">
        <w:rPr>
          <w:sz w:val="28"/>
          <w:szCs w:val="28"/>
        </w:rPr>
        <w:t>)</w:t>
      </w:r>
      <w:r w:rsidR="0080689E">
        <w:rPr>
          <w:sz w:val="28"/>
          <w:szCs w:val="28"/>
        </w:rPr>
        <w:t>:</w:t>
      </w:r>
      <w:r w:rsidRPr="00B204B8">
        <w:rPr>
          <w:sz w:val="28"/>
          <w:szCs w:val="28"/>
        </w:rPr>
        <w:t xml:space="preserve"> </w:t>
      </w:r>
    </w:p>
    <w:p w:rsidR="00BD41EB" w:rsidRPr="00B204B8" w:rsidRDefault="00BD41EB" w:rsidP="00453F2A">
      <w:pPr>
        <w:tabs>
          <w:tab w:val="num" w:pos="720"/>
        </w:tabs>
        <w:jc w:val="right"/>
        <w:rPr>
          <w:b/>
          <w:sz w:val="28"/>
          <w:szCs w:val="28"/>
        </w:rPr>
      </w:pP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b/>
          <w:sz w:val="28"/>
          <w:szCs w:val="28"/>
        </w:rPr>
        <w:t xml:space="preserve"> </w:t>
      </w:r>
    </w:p>
    <w:p w:rsidR="00800A97" w:rsidRPr="00B204B8" w:rsidRDefault="002578A3" w:rsidP="004C55A2">
      <w:pPr>
        <w:jc w:val="both"/>
        <w:rPr>
          <w:rFonts w:ascii="TimesNewRomanPSMT" w:hAnsi="TimesNewRomanPSMT" w:hint="eastAsia"/>
          <w:b/>
          <w:sz w:val="28"/>
          <w:szCs w:val="28"/>
        </w:rPr>
      </w:pPr>
      <w:r w:rsidRPr="00B204B8">
        <w:rPr>
          <w:noProof/>
          <w:lang w:eastAsia="ru-RU"/>
        </w:rPr>
        <w:drawing>
          <wp:inline distT="0" distB="0" distL="0" distR="0" wp14:anchorId="023A94E8" wp14:editId="1C6F4A25">
            <wp:extent cx="6432606" cy="5279666"/>
            <wp:effectExtent l="0" t="0" r="25400" b="1651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D65C1" w:rsidRPr="00EC71F3" w:rsidRDefault="00EC71F3" w:rsidP="00EC71F3">
      <w:pPr>
        <w:tabs>
          <w:tab w:val="num" w:pos="720"/>
        </w:tabs>
        <w:jc w:val="center"/>
        <w:rPr>
          <w:sz w:val="28"/>
          <w:szCs w:val="28"/>
        </w:rPr>
      </w:pPr>
      <w:r w:rsidRPr="00EC71F3">
        <w:rPr>
          <w:sz w:val="28"/>
          <w:szCs w:val="28"/>
        </w:rPr>
        <w:t>Рисунок 4</w:t>
      </w:r>
    </w:p>
    <w:p w:rsidR="00BD41EB" w:rsidRPr="00B204B8" w:rsidRDefault="00BD41EB" w:rsidP="00453F2A">
      <w:pPr>
        <w:tabs>
          <w:tab w:val="num" w:pos="720"/>
        </w:tabs>
        <w:ind w:left="6381" w:firstLine="709"/>
        <w:jc w:val="right"/>
        <w:rPr>
          <w:b/>
          <w:sz w:val="28"/>
          <w:szCs w:val="28"/>
        </w:rPr>
      </w:pPr>
    </w:p>
    <w:p w:rsidR="006839DC" w:rsidRDefault="00EF4718" w:rsidP="006839DC">
      <w:pPr>
        <w:pStyle w:val="3"/>
        <w:widowControl w:val="0"/>
        <w:shd w:val="clear" w:color="auto" w:fill="FFFFFF"/>
        <w:autoSpaceDE w:val="0"/>
        <w:autoSpaceDN w:val="0"/>
        <w:adjustRightInd w:val="0"/>
        <w:spacing w:after="0"/>
        <w:jc w:val="both"/>
        <w:rPr>
          <w:sz w:val="28"/>
          <w:szCs w:val="28"/>
        </w:rPr>
      </w:pPr>
      <w:r w:rsidRPr="00B204B8">
        <w:rPr>
          <w:noProof/>
          <w:lang w:eastAsia="ru-RU"/>
        </w:rPr>
        <w:lastRenderedPageBreak/>
        <w:drawing>
          <wp:inline distT="0" distB="0" distL="0" distR="0" wp14:anchorId="3979E221" wp14:editId="13E4DFD6">
            <wp:extent cx="5940425" cy="3879148"/>
            <wp:effectExtent l="0" t="0" r="22225" b="2667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C71F3" w:rsidRDefault="00EC71F3" w:rsidP="00EC71F3">
      <w:pPr>
        <w:pStyle w:val="3"/>
        <w:widowControl w:val="0"/>
        <w:shd w:val="clear" w:color="auto" w:fill="FFFFFF"/>
        <w:autoSpaceDE w:val="0"/>
        <w:autoSpaceDN w:val="0"/>
        <w:adjustRightInd w:val="0"/>
        <w:spacing w:after="0"/>
        <w:jc w:val="center"/>
        <w:rPr>
          <w:sz w:val="28"/>
          <w:szCs w:val="28"/>
        </w:rPr>
      </w:pPr>
      <w:r>
        <w:rPr>
          <w:sz w:val="28"/>
          <w:szCs w:val="28"/>
        </w:rPr>
        <w:t>Рисунок 5</w:t>
      </w:r>
    </w:p>
    <w:p w:rsidR="00EC71F3" w:rsidRPr="00B204B8" w:rsidRDefault="00EC71F3" w:rsidP="00EC71F3">
      <w:pPr>
        <w:pStyle w:val="3"/>
        <w:widowControl w:val="0"/>
        <w:shd w:val="clear" w:color="auto" w:fill="FFFFFF"/>
        <w:autoSpaceDE w:val="0"/>
        <w:autoSpaceDN w:val="0"/>
        <w:adjustRightInd w:val="0"/>
        <w:spacing w:after="0"/>
        <w:jc w:val="center"/>
        <w:rPr>
          <w:sz w:val="28"/>
          <w:szCs w:val="28"/>
        </w:rPr>
      </w:pPr>
    </w:p>
    <w:p w:rsidR="00BD41EB" w:rsidRPr="00B204B8" w:rsidRDefault="00BD41EB" w:rsidP="000227BB">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По значениям сводных индексов показателей «Объем инвестиций в основной капитал (за исключением бюджетных средств)», «Доля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и «Доля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городского округа (муниципального района)»</w:t>
      </w:r>
      <w:r w:rsidR="00124249" w:rsidRPr="00B204B8">
        <w:rPr>
          <w:sz w:val="28"/>
          <w:szCs w:val="28"/>
        </w:rPr>
        <w:t xml:space="preserve"> </w:t>
      </w:r>
      <w:r w:rsidRPr="00B204B8">
        <w:rPr>
          <w:sz w:val="28"/>
          <w:szCs w:val="28"/>
        </w:rPr>
        <w:t xml:space="preserve">лидирующие позиции заняли: </w:t>
      </w:r>
    </w:p>
    <w:p w:rsidR="00BA0B75" w:rsidRPr="00B204B8" w:rsidRDefault="00BA0B7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Муниципальные районы</w:t>
      </w:r>
    </w:p>
    <w:p w:rsidR="00BA0B75" w:rsidRPr="00B204B8" w:rsidRDefault="00BA0B7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1) Мильковский</w:t>
      </w:r>
    </w:p>
    <w:p w:rsidR="00BA0B75" w:rsidRPr="00B204B8" w:rsidRDefault="00BA0B7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2) </w:t>
      </w:r>
      <w:r w:rsidR="00410D3C" w:rsidRPr="00B204B8">
        <w:rPr>
          <w:sz w:val="28"/>
          <w:szCs w:val="28"/>
        </w:rPr>
        <w:t>Быстринский</w:t>
      </w:r>
    </w:p>
    <w:p w:rsidR="00BA0B75" w:rsidRPr="00B204B8" w:rsidRDefault="00BA0B7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3) Елизовский</w:t>
      </w:r>
    </w:p>
    <w:p w:rsidR="00BA0B75" w:rsidRPr="00B204B8" w:rsidRDefault="00BA0B7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Городской округ</w:t>
      </w:r>
    </w:p>
    <w:p w:rsidR="00BA0B75" w:rsidRPr="00B204B8" w:rsidRDefault="00BA0B7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1) Петропавловск-Камчатский</w:t>
      </w:r>
    </w:p>
    <w:p w:rsidR="00BD41EB" w:rsidRPr="00B204B8" w:rsidRDefault="00BD41EB" w:rsidP="000227BB">
      <w:pPr>
        <w:pStyle w:val="3"/>
        <w:widowControl w:val="0"/>
        <w:shd w:val="clear" w:color="auto" w:fill="FFFFFF"/>
        <w:autoSpaceDE w:val="0"/>
        <w:autoSpaceDN w:val="0"/>
        <w:adjustRightInd w:val="0"/>
        <w:spacing w:after="0"/>
        <w:ind w:firstLine="709"/>
        <w:jc w:val="both"/>
        <w:rPr>
          <w:sz w:val="28"/>
          <w:szCs w:val="28"/>
        </w:rPr>
      </w:pPr>
    </w:p>
    <w:p w:rsidR="00163467" w:rsidRPr="00B204B8" w:rsidRDefault="00B52158" w:rsidP="00163467">
      <w:pPr>
        <w:pStyle w:val="3"/>
        <w:widowControl w:val="0"/>
        <w:shd w:val="clear" w:color="auto" w:fill="FFFFFF"/>
        <w:autoSpaceDE w:val="0"/>
        <w:autoSpaceDN w:val="0"/>
        <w:adjustRightInd w:val="0"/>
        <w:spacing w:after="0"/>
        <w:ind w:firstLine="709"/>
        <w:jc w:val="center"/>
        <w:rPr>
          <w:b/>
          <w:i/>
          <w:sz w:val="28"/>
          <w:szCs w:val="28"/>
        </w:rPr>
      </w:pPr>
      <w:r w:rsidRPr="00B204B8">
        <w:rPr>
          <w:b/>
          <w:i/>
          <w:sz w:val="28"/>
          <w:szCs w:val="28"/>
        </w:rPr>
        <w:t>Благосостояние населения</w:t>
      </w:r>
    </w:p>
    <w:p w:rsidR="00942957" w:rsidRPr="00B204B8" w:rsidRDefault="00942957" w:rsidP="00163467">
      <w:pPr>
        <w:pStyle w:val="3"/>
        <w:widowControl w:val="0"/>
        <w:shd w:val="clear" w:color="auto" w:fill="FFFFFF"/>
        <w:autoSpaceDE w:val="0"/>
        <w:autoSpaceDN w:val="0"/>
        <w:adjustRightInd w:val="0"/>
        <w:spacing w:after="0"/>
        <w:ind w:firstLine="709"/>
        <w:jc w:val="center"/>
        <w:rPr>
          <w:b/>
          <w:i/>
          <w:sz w:val="28"/>
          <w:szCs w:val="28"/>
        </w:rPr>
      </w:pPr>
    </w:p>
    <w:p w:rsidR="00CD0B02" w:rsidRPr="00B204B8" w:rsidRDefault="00CD0B02" w:rsidP="00CD0B02">
      <w:pPr>
        <w:tabs>
          <w:tab w:val="left" w:pos="0"/>
        </w:tabs>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В динамике за последние годы наблюдается рост среднемесячной заработной платы как работников крупных и средних предприятий и </w:t>
      </w:r>
      <w:r w:rsidRPr="00B204B8">
        <w:rPr>
          <w:rFonts w:ascii="Times New Roman CYR" w:hAnsi="Times New Roman CYR" w:cs="Times New Roman CYR"/>
          <w:sz w:val="28"/>
          <w:szCs w:val="28"/>
        </w:rPr>
        <w:lastRenderedPageBreak/>
        <w:t>некоммерческих организаций, так и работников учреждений образования, здравоохранения и культуры, осуществляющих деятельность на территории Камчатского края.</w:t>
      </w:r>
    </w:p>
    <w:p w:rsidR="00CD0B02" w:rsidRPr="00B204B8" w:rsidRDefault="0036130F" w:rsidP="00CD0B02">
      <w:pPr>
        <w:widowControl w:val="0"/>
        <w:shd w:val="clear" w:color="auto" w:fill="FFFFFF"/>
        <w:autoSpaceDE w:val="0"/>
        <w:autoSpaceDN w:val="0"/>
        <w:adjustRightInd w:val="0"/>
        <w:ind w:firstLine="709"/>
        <w:jc w:val="both"/>
        <w:rPr>
          <w:sz w:val="26"/>
          <w:szCs w:val="26"/>
        </w:rPr>
      </w:pPr>
      <w:r>
        <w:rPr>
          <w:rFonts w:ascii="Times New Roman CYR" w:hAnsi="Times New Roman CYR" w:cs="Times New Roman CYR"/>
          <w:sz w:val="28"/>
          <w:szCs w:val="28"/>
        </w:rPr>
        <w:t>В 2014 году сре</w:t>
      </w:r>
      <w:r w:rsidR="00CD0B02" w:rsidRPr="00B204B8">
        <w:rPr>
          <w:rFonts w:ascii="Times New Roman CYR" w:hAnsi="Times New Roman CYR" w:cs="Times New Roman CYR"/>
          <w:sz w:val="28"/>
          <w:szCs w:val="28"/>
        </w:rPr>
        <w:t>днемесячная номинальная заработная плата одного работающего выросла до 53,15 тыс. руб. или на 9,3 % к уровню 2013 года</w:t>
      </w:r>
      <w:r w:rsidR="008E4F0D">
        <w:rPr>
          <w:rFonts w:ascii="Times New Roman CYR" w:hAnsi="Times New Roman CYR" w:cs="Times New Roman CYR"/>
          <w:sz w:val="28"/>
          <w:szCs w:val="28"/>
        </w:rPr>
        <w:t>;</w:t>
      </w:r>
      <w:r w:rsidR="00CD0B02" w:rsidRPr="00B204B8">
        <w:rPr>
          <w:rFonts w:ascii="Times New Roman CYR" w:hAnsi="Times New Roman CYR" w:cs="Times New Roman CYR"/>
          <w:sz w:val="28"/>
          <w:szCs w:val="28"/>
        </w:rPr>
        <w:t xml:space="preserve"> </w:t>
      </w:r>
      <w:r w:rsidR="008E4F0D">
        <w:rPr>
          <w:rFonts w:ascii="Times New Roman CYR" w:hAnsi="Times New Roman CYR" w:cs="Times New Roman CYR"/>
          <w:sz w:val="28"/>
          <w:szCs w:val="28"/>
        </w:rPr>
        <w:t>с</w:t>
      </w:r>
      <w:r w:rsidR="00CD0B02" w:rsidRPr="00B204B8">
        <w:rPr>
          <w:rFonts w:ascii="Times New Roman CYR" w:hAnsi="Times New Roman CYR" w:cs="Times New Roman CYR"/>
          <w:sz w:val="28"/>
          <w:szCs w:val="28"/>
        </w:rPr>
        <w:t>реднемесячная реальная начисленная заработная плата выросла на 2,4 % к уровню 2013 года.</w:t>
      </w:r>
      <w:r w:rsidR="00CD0B02" w:rsidRPr="00B204B8">
        <w:rPr>
          <w:sz w:val="26"/>
          <w:szCs w:val="26"/>
        </w:rPr>
        <w:t xml:space="preserve"> </w:t>
      </w:r>
    </w:p>
    <w:p w:rsidR="00CD0B02" w:rsidRPr="00B204B8" w:rsidRDefault="00CD0B02" w:rsidP="00CD0B02">
      <w:pPr>
        <w:widowControl w:val="0"/>
        <w:shd w:val="clear" w:color="auto" w:fill="FFFFFF"/>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Заработная плата работников бюджетной сферы повышалась в соответствии с законодательством Российской Федерации и Камчатского края.  В среднем рост заработной платы работников бюджетной сферы различных категорий</w:t>
      </w:r>
      <w:r w:rsidR="007B1633">
        <w:rPr>
          <w:rFonts w:ascii="Times New Roman CYR" w:hAnsi="Times New Roman CYR" w:cs="Times New Roman CYR"/>
          <w:sz w:val="28"/>
          <w:szCs w:val="28"/>
        </w:rPr>
        <w:t xml:space="preserve"> в отчетном году</w:t>
      </w:r>
      <w:r w:rsidRPr="00B204B8">
        <w:rPr>
          <w:rFonts w:ascii="Times New Roman CYR" w:hAnsi="Times New Roman CYR" w:cs="Times New Roman CYR"/>
          <w:sz w:val="28"/>
          <w:szCs w:val="28"/>
        </w:rPr>
        <w:t xml:space="preserve"> составил от 20% до 27%.  </w:t>
      </w:r>
    </w:p>
    <w:p w:rsidR="00CD0B02" w:rsidRPr="00B204B8" w:rsidRDefault="00CD0B02" w:rsidP="00CD0B02">
      <w:pPr>
        <w:pStyle w:val="ConsPlusNormal"/>
        <w:widowControl/>
        <w:tabs>
          <w:tab w:val="left" w:pos="540"/>
          <w:tab w:val="left" w:pos="720"/>
        </w:tabs>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Позитивным изменениям в динамике заработной платы работников крупных и средних предприятий способствовала работа, направленная на сокращение объемов выплаты заработной платы «серыми» схемами, осуществление контроля за полнотой и своевременностью выплаты заработной платы в организациях края. В этом направлении работала Межведомственная комиссия по обеспечению своевременной выплаты заработной платы и содействию осуществления контроля за полнотой уплаты налогов в бюджеты всех уровней и внебюджетные фонды, призванная содействовать усилению контроля за выплатой заработной платы, доведения ее до уровня величины прожиточного минимума, а также принятию эффективных мер к организациям-должникам.</w:t>
      </w:r>
    </w:p>
    <w:p w:rsidR="00CD0B02" w:rsidRPr="00B204B8" w:rsidRDefault="00CD0B02" w:rsidP="00CD0B02">
      <w:pPr>
        <w:widowControl w:val="0"/>
        <w:shd w:val="clear" w:color="auto" w:fill="FFFFFF"/>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Межотраслевая дифференциация (по бюджетной сфере) по установленному перечню показателей сложилась следующим образом: максимальная в  Алеутском муниципальном районе – 2,4 раза (соотношение среднемесячной номинальной начисленной заработной платы учителей муниципальных общеобразовательных учреждений и работников муниципальных дошкольных образовательных учреждений); минимальная -  в Петропавловск-Камчатском городском округе – 1,5 раза (соотношение среднемесячной номинальной начисленной заработной платы работников физической культуры и спорта и работников муниципальных дошкольных образовательных учреждений).  </w:t>
      </w:r>
    </w:p>
    <w:p w:rsidR="00CD0B02" w:rsidRPr="00B204B8" w:rsidRDefault="00CD0B02" w:rsidP="00CD0B02">
      <w:pPr>
        <w:widowControl w:val="0"/>
        <w:shd w:val="clear" w:color="auto" w:fill="FFFFFF"/>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Межрегиональная дифференциация номинальной начисленной заработной платы внутри одной специальности по городским округам и муниципальным районам в Камчатском крае максимальна у работников муниципальных общеобразовательных учреждений – 2,0 раза; минимальна у работников муниципальных дошкольных образовательных учреждений - 1,3 раза.</w:t>
      </w:r>
    </w:p>
    <w:p w:rsidR="00BD41EB" w:rsidRPr="00B204B8" w:rsidRDefault="00BD41EB" w:rsidP="00EC71F3">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По результатам проведенной комплексной оценки значения сводных индексов показателя «Среднемесячная номинальная начисленная заработная плата работников»</w:t>
      </w:r>
      <w:r w:rsidR="003D01A7" w:rsidRPr="00B204B8">
        <w:rPr>
          <w:sz w:val="28"/>
          <w:szCs w:val="28"/>
        </w:rPr>
        <w:t>,</w:t>
      </w:r>
      <w:r w:rsidRPr="00B204B8">
        <w:rPr>
          <w:sz w:val="28"/>
          <w:szCs w:val="28"/>
        </w:rPr>
        <w:t xml:space="preserve"> отражающего отношение среднемесячной номинальной начисленной заработной платы работников социальной сферы к среднемесячной номинальной начисленной заработной платы работников, занятых в экономике</w:t>
      </w:r>
      <w:r w:rsidR="003D01A7" w:rsidRPr="00B204B8">
        <w:rPr>
          <w:sz w:val="28"/>
          <w:szCs w:val="28"/>
        </w:rPr>
        <w:t>,</w:t>
      </w:r>
      <w:r w:rsidRPr="00B204B8">
        <w:rPr>
          <w:sz w:val="28"/>
          <w:szCs w:val="28"/>
        </w:rPr>
        <w:t xml:space="preserve"> составили (рисунок </w:t>
      </w:r>
      <w:r w:rsidR="00BA0B75" w:rsidRPr="00B204B8">
        <w:rPr>
          <w:sz w:val="28"/>
          <w:szCs w:val="28"/>
        </w:rPr>
        <w:t>6</w:t>
      </w:r>
      <w:r w:rsidRPr="00B204B8">
        <w:rPr>
          <w:sz w:val="28"/>
          <w:szCs w:val="28"/>
        </w:rPr>
        <w:t>,</w:t>
      </w:r>
      <w:r w:rsidR="00BA0B75" w:rsidRPr="00B204B8">
        <w:rPr>
          <w:sz w:val="28"/>
          <w:szCs w:val="28"/>
        </w:rPr>
        <w:t>7</w:t>
      </w:r>
      <w:r w:rsidRPr="00B204B8">
        <w:rPr>
          <w:sz w:val="28"/>
          <w:szCs w:val="28"/>
        </w:rPr>
        <w:t>)</w:t>
      </w:r>
      <w:r w:rsidR="00044B83">
        <w:rPr>
          <w:sz w:val="28"/>
          <w:szCs w:val="28"/>
        </w:rPr>
        <w:t>:</w:t>
      </w:r>
      <w:r w:rsidRPr="00B204B8">
        <w:rPr>
          <w:sz w:val="28"/>
          <w:szCs w:val="28"/>
        </w:rPr>
        <w:t xml:space="preserve"> </w:t>
      </w:r>
      <w:r w:rsidR="007C3CCE" w:rsidRPr="00B204B8">
        <w:rPr>
          <w:b/>
          <w:sz w:val="28"/>
          <w:szCs w:val="28"/>
        </w:rPr>
        <w:t xml:space="preserve">       </w:t>
      </w:r>
      <w:r w:rsidR="00FA11EC" w:rsidRPr="00B204B8">
        <w:rPr>
          <w:b/>
          <w:sz w:val="28"/>
          <w:szCs w:val="28"/>
        </w:rPr>
        <w:t xml:space="preserve">     </w:t>
      </w:r>
      <w:r w:rsidR="007C3CCE" w:rsidRPr="00B204B8">
        <w:rPr>
          <w:b/>
          <w:sz w:val="28"/>
          <w:szCs w:val="28"/>
        </w:rPr>
        <w:t xml:space="preserve">  </w:t>
      </w:r>
    </w:p>
    <w:p w:rsidR="00BD41EB" w:rsidRPr="00B204B8" w:rsidRDefault="00FA11EC" w:rsidP="006839DC">
      <w:pPr>
        <w:jc w:val="both"/>
        <w:rPr>
          <w:rFonts w:ascii="TimesNewRomanPSMT" w:hAnsi="TimesNewRomanPSMT" w:hint="eastAsia"/>
          <w:sz w:val="28"/>
          <w:szCs w:val="28"/>
        </w:rPr>
      </w:pPr>
      <w:r w:rsidRPr="00B204B8">
        <w:rPr>
          <w:noProof/>
          <w:sz w:val="20"/>
          <w:szCs w:val="20"/>
          <w:lang w:eastAsia="ru-RU"/>
        </w:rPr>
        <w:lastRenderedPageBreak/>
        <w:drawing>
          <wp:inline distT="0" distB="0" distL="0" distR="0" wp14:anchorId="1045D656" wp14:editId="623C5F35">
            <wp:extent cx="5940425" cy="3879762"/>
            <wp:effectExtent l="0" t="0" r="22225" b="26035"/>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C71F3" w:rsidRDefault="00EC71F3" w:rsidP="00EC71F3">
      <w:pPr>
        <w:tabs>
          <w:tab w:val="num" w:pos="720"/>
        </w:tabs>
        <w:ind w:firstLine="709"/>
        <w:jc w:val="center"/>
        <w:rPr>
          <w:rFonts w:ascii="TimesNewRomanPSMT" w:hAnsi="TimesNewRomanPSMT" w:hint="eastAsia"/>
          <w:sz w:val="28"/>
          <w:szCs w:val="28"/>
        </w:rPr>
      </w:pPr>
      <w:r>
        <w:rPr>
          <w:rFonts w:ascii="TimesNewRomanPSMT" w:hAnsi="TimesNewRomanPSMT"/>
          <w:sz w:val="28"/>
          <w:szCs w:val="28"/>
        </w:rPr>
        <w:t>Рисунок 6</w:t>
      </w:r>
    </w:p>
    <w:p w:rsidR="002F7027" w:rsidRPr="00B204B8" w:rsidRDefault="00BD41EB" w:rsidP="0051428E">
      <w:pPr>
        <w:tabs>
          <w:tab w:val="num" w:pos="720"/>
        </w:tabs>
        <w:ind w:firstLine="709"/>
        <w:jc w:val="right"/>
        <w:rPr>
          <w:rFonts w:ascii="TimesNewRomanPSMT" w:hAnsi="TimesNewRomanPSMT" w:hint="eastAsia"/>
          <w:sz w:val="28"/>
          <w:szCs w:val="28"/>
        </w:rPr>
      </w:pP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p>
    <w:p w:rsidR="006839DC" w:rsidRPr="00B204B8" w:rsidRDefault="00965292" w:rsidP="00304971">
      <w:pPr>
        <w:tabs>
          <w:tab w:val="num" w:pos="720"/>
        </w:tabs>
        <w:ind w:firstLine="709"/>
        <w:jc w:val="right"/>
        <w:rPr>
          <w:b/>
          <w:sz w:val="28"/>
          <w:szCs w:val="28"/>
        </w:rPr>
      </w:pPr>
      <w:r w:rsidRPr="00B204B8">
        <w:rPr>
          <w:noProof/>
          <w:lang w:eastAsia="ru-RU"/>
        </w:rPr>
        <w:t xml:space="preserve"> </w:t>
      </w:r>
      <w:r w:rsidRPr="00B204B8">
        <w:rPr>
          <w:noProof/>
          <w:lang w:eastAsia="ru-RU"/>
        </w:rPr>
        <w:drawing>
          <wp:inline distT="0" distB="0" distL="0" distR="0" wp14:anchorId="3D6F3D60" wp14:editId="6F925B99">
            <wp:extent cx="5940425" cy="3879762"/>
            <wp:effectExtent l="0" t="0" r="22225" b="26035"/>
            <wp:docPr id="39" name="Диаграмма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EC71F3" w:rsidRDefault="00EC71F3" w:rsidP="00EC71F3">
      <w:pPr>
        <w:pStyle w:val="3"/>
        <w:widowControl w:val="0"/>
        <w:shd w:val="clear" w:color="auto" w:fill="FFFFFF"/>
        <w:autoSpaceDE w:val="0"/>
        <w:autoSpaceDN w:val="0"/>
        <w:adjustRightInd w:val="0"/>
        <w:spacing w:after="0"/>
        <w:ind w:firstLine="709"/>
        <w:jc w:val="center"/>
        <w:rPr>
          <w:sz w:val="28"/>
          <w:szCs w:val="28"/>
        </w:rPr>
      </w:pPr>
      <w:r>
        <w:rPr>
          <w:sz w:val="28"/>
          <w:szCs w:val="28"/>
        </w:rPr>
        <w:t>Рисунок 7</w:t>
      </w:r>
    </w:p>
    <w:p w:rsidR="00EC71F3" w:rsidRDefault="00EC71F3" w:rsidP="00EC71F3">
      <w:pPr>
        <w:pStyle w:val="3"/>
        <w:widowControl w:val="0"/>
        <w:shd w:val="clear" w:color="auto" w:fill="FFFFFF"/>
        <w:autoSpaceDE w:val="0"/>
        <w:autoSpaceDN w:val="0"/>
        <w:adjustRightInd w:val="0"/>
        <w:spacing w:after="0"/>
        <w:ind w:firstLine="709"/>
        <w:jc w:val="center"/>
        <w:rPr>
          <w:sz w:val="28"/>
          <w:szCs w:val="28"/>
        </w:rPr>
      </w:pPr>
    </w:p>
    <w:p w:rsidR="00EC71F3" w:rsidRDefault="00EC71F3" w:rsidP="00EC71F3">
      <w:pPr>
        <w:pStyle w:val="3"/>
        <w:widowControl w:val="0"/>
        <w:shd w:val="clear" w:color="auto" w:fill="FFFFFF"/>
        <w:autoSpaceDE w:val="0"/>
        <w:autoSpaceDN w:val="0"/>
        <w:adjustRightInd w:val="0"/>
        <w:spacing w:after="0"/>
        <w:ind w:firstLine="709"/>
        <w:jc w:val="center"/>
        <w:rPr>
          <w:sz w:val="28"/>
          <w:szCs w:val="28"/>
        </w:rPr>
      </w:pPr>
    </w:p>
    <w:p w:rsidR="00BD41EB" w:rsidRPr="00B204B8" w:rsidRDefault="00BD41EB"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lastRenderedPageBreak/>
        <w:t>По результатам оценки наивысших значений достигли:</w:t>
      </w:r>
    </w:p>
    <w:p w:rsidR="00BA0B75" w:rsidRPr="00B204B8" w:rsidRDefault="003C7B2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    </w:t>
      </w:r>
      <w:r w:rsidR="00BA0B75" w:rsidRPr="00B204B8">
        <w:rPr>
          <w:sz w:val="28"/>
          <w:szCs w:val="28"/>
        </w:rPr>
        <w:t>Муниципальные районы</w:t>
      </w:r>
    </w:p>
    <w:p w:rsidR="00BA0B75" w:rsidRPr="00B204B8" w:rsidRDefault="00BA0B75" w:rsidP="00BA0B75">
      <w:pPr>
        <w:pStyle w:val="3"/>
        <w:widowControl w:val="0"/>
        <w:shd w:val="clear" w:color="auto" w:fill="FFFFFF"/>
        <w:autoSpaceDE w:val="0"/>
        <w:autoSpaceDN w:val="0"/>
        <w:adjustRightInd w:val="0"/>
        <w:spacing w:after="0"/>
        <w:ind w:firstLine="993"/>
        <w:jc w:val="both"/>
        <w:rPr>
          <w:sz w:val="28"/>
          <w:szCs w:val="28"/>
        </w:rPr>
      </w:pPr>
      <w:r w:rsidRPr="00B204B8">
        <w:rPr>
          <w:sz w:val="28"/>
          <w:szCs w:val="28"/>
        </w:rPr>
        <w:t xml:space="preserve">1) </w:t>
      </w:r>
      <w:r w:rsidR="00E73B81" w:rsidRPr="00B204B8">
        <w:rPr>
          <w:sz w:val="28"/>
          <w:szCs w:val="28"/>
        </w:rPr>
        <w:t>Пенжинский</w:t>
      </w:r>
    </w:p>
    <w:p w:rsidR="00BA0B75" w:rsidRPr="00B204B8" w:rsidRDefault="00BA0B75" w:rsidP="00BA0B75">
      <w:pPr>
        <w:pStyle w:val="3"/>
        <w:widowControl w:val="0"/>
        <w:shd w:val="clear" w:color="auto" w:fill="FFFFFF"/>
        <w:autoSpaceDE w:val="0"/>
        <w:autoSpaceDN w:val="0"/>
        <w:adjustRightInd w:val="0"/>
        <w:spacing w:after="0"/>
        <w:ind w:firstLine="993"/>
        <w:jc w:val="both"/>
        <w:rPr>
          <w:sz w:val="28"/>
          <w:szCs w:val="28"/>
        </w:rPr>
      </w:pPr>
      <w:r w:rsidRPr="00B204B8">
        <w:rPr>
          <w:sz w:val="28"/>
          <w:szCs w:val="28"/>
        </w:rPr>
        <w:t>2) Карагинский</w:t>
      </w:r>
    </w:p>
    <w:p w:rsidR="00BA0B75" w:rsidRPr="00B204B8" w:rsidRDefault="00BA0B75" w:rsidP="00BA0B75">
      <w:pPr>
        <w:pStyle w:val="3"/>
        <w:widowControl w:val="0"/>
        <w:shd w:val="clear" w:color="auto" w:fill="FFFFFF"/>
        <w:autoSpaceDE w:val="0"/>
        <w:autoSpaceDN w:val="0"/>
        <w:adjustRightInd w:val="0"/>
        <w:spacing w:after="0"/>
        <w:ind w:firstLine="993"/>
        <w:jc w:val="both"/>
        <w:rPr>
          <w:sz w:val="28"/>
          <w:szCs w:val="28"/>
        </w:rPr>
      </w:pPr>
      <w:r w:rsidRPr="00B204B8">
        <w:rPr>
          <w:sz w:val="28"/>
          <w:szCs w:val="28"/>
        </w:rPr>
        <w:t>3) Алеутский</w:t>
      </w:r>
    </w:p>
    <w:p w:rsidR="00BA0B75" w:rsidRPr="00B204B8" w:rsidRDefault="003C7B25" w:rsidP="00BA0B75">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    </w:t>
      </w:r>
      <w:r w:rsidR="00BA0B75" w:rsidRPr="00B204B8">
        <w:rPr>
          <w:sz w:val="28"/>
          <w:szCs w:val="28"/>
        </w:rPr>
        <w:t>Городской округ</w:t>
      </w:r>
    </w:p>
    <w:p w:rsidR="00BA0B75" w:rsidRPr="00B204B8" w:rsidRDefault="00BA0B75" w:rsidP="00BA0B75">
      <w:pPr>
        <w:pStyle w:val="3"/>
        <w:widowControl w:val="0"/>
        <w:shd w:val="clear" w:color="auto" w:fill="FFFFFF"/>
        <w:autoSpaceDE w:val="0"/>
        <w:autoSpaceDN w:val="0"/>
        <w:adjustRightInd w:val="0"/>
        <w:spacing w:after="0"/>
        <w:ind w:firstLine="993"/>
        <w:jc w:val="both"/>
        <w:rPr>
          <w:sz w:val="28"/>
          <w:szCs w:val="28"/>
        </w:rPr>
      </w:pPr>
      <w:r w:rsidRPr="00B204B8">
        <w:rPr>
          <w:sz w:val="28"/>
          <w:szCs w:val="28"/>
        </w:rPr>
        <w:t xml:space="preserve">1) </w:t>
      </w:r>
      <w:r w:rsidR="00E73B81" w:rsidRPr="00B204B8">
        <w:rPr>
          <w:sz w:val="28"/>
          <w:szCs w:val="28"/>
        </w:rPr>
        <w:t>Вилючинский</w:t>
      </w:r>
    </w:p>
    <w:p w:rsidR="00BD41EB" w:rsidRPr="00B204B8" w:rsidRDefault="00BD41EB" w:rsidP="00FE3974">
      <w:pPr>
        <w:pStyle w:val="3"/>
        <w:widowControl w:val="0"/>
        <w:shd w:val="clear" w:color="auto" w:fill="FFFFFF"/>
        <w:autoSpaceDE w:val="0"/>
        <w:autoSpaceDN w:val="0"/>
        <w:adjustRightInd w:val="0"/>
        <w:spacing w:after="0"/>
        <w:ind w:firstLine="709"/>
        <w:jc w:val="both"/>
        <w:rPr>
          <w:sz w:val="28"/>
          <w:szCs w:val="28"/>
        </w:rPr>
      </w:pPr>
    </w:p>
    <w:p w:rsidR="00BD41EB" w:rsidRPr="00B204B8" w:rsidRDefault="00BD41EB" w:rsidP="00A25541">
      <w:pPr>
        <w:tabs>
          <w:tab w:val="num" w:pos="720"/>
        </w:tabs>
        <w:ind w:firstLine="709"/>
        <w:jc w:val="center"/>
        <w:rPr>
          <w:rFonts w:eastAsia="Calibri"/>
          <w:b/>
          <w:sz w:val="28"/>
          <w:szCs w:val="28"/>
          <w:lang w:eastAsia="en-US"/>
        </w:rPr>
      </w:pPr>
      <w:r w:rsidRPr="00B204B8">
        <w:rPr>
          <w:b/>
          <w:sz w:val="28"/>
          <w:szCs w:val="28"/>
        </w:rPr>
        <w:t>2</w:t>
      </w:r>
      <w:r w:rsidRPr="00B204B8">
        <w:rPr>
          <w:rFonts w:eastAsia="Calibri"/>
          <w:b/>
          <w:sz w:val="28"/>
          <w:szCs w:val="28"/>
          <w:lang w:eastAsia="en-US"/>
        </w:rPr>
        <w:t>. Дошкольное образование</w:t>
      </w:r>
    </w:p>
    <w:p w:rsidR="00BD41EB" w:rsidRPr="00B204B8" w:rsidRDefault="00BD41EB" w:rsidP="00BD41EB">
      <w:pPr>
        <w:tabs>
          <w:tab w:val="num" w:pos="720"/>
        </w:tabs>
        <w:ind w:firstLine="709"/>
        <w:rPr>
          <w:rFonts w:ascii="TimesNewRomanPSMT" w:eastAsia="Calibri" w:hAnsi="TimesNewRomanPSMT"/>
          <w:b/>
          <w:sz w:val="28"/>
          <w:szCs w:val="28"/>
          <w:lang w:eastAsia="en-US"/>
        </w:rPr>
      </w:pPr>
    </w:p>
    <w:p w:rsidR="005059EA" w:rsidRPr="00B204B8" w:rsidRDefault="005059EA"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Согласно Федерального закона от 29.12.2012 № 273-ФЗ «Об образовании в Российской Федерации» дошкольные образовательные учреждения (ДОУ) стали первым уровнем в системе непрерывного образования, которая включает в себя общее, среднее профессиональное и высшее. При этом дошкольный уровень не предусматривает итоговых экзаменов или других форм оценки детских знаний. </w:t>
      </w:r>
    </w:p>
    <w:p w:rsidR="005059EA" w:rsidRPr="00B204B8" w:rsidRDefault="005059EA"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По состоянию на конец 2014 года в Камчатском крае функционировало 119 самостоятельных дошкольных учреждений. Кроме того, в составе 20 общеобразовательных </w:t>
      </w:r>
      <w:r w:rsidR="00ED312C" w:rsidRPr="00B204B8">
        <w:rPr>
          <w:sz w:val="28"/>
          <w:szCs w:val="28"/>
        </w:rPr>
        <w:t>организовано 70 групп дошкольного воспитания, которые посещали 1 294 ребенка.</w:t>
      </w:r>
    </w:p>
    <w:p w:rsidR="00ED312C" w:rsidRPr="00B204B8" w:rsidRDefault="00ED312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Переход из формы самостоятельных дошкольных учреждений в состав или подразделения дневных общеобразовательных учреждений продиктован временем. Образовательные учреждения, расположенные преимущественно в сельской местности, испытывают дефицит в воспитанниках и учащихся, </w:t>
      </w:r>
      <w:r w:rsidR="00FB3269">
        <w:rPr>
          <w:sz w:val="28"/>
          <w:szCs w:val="28"/>
        </w:rPr>
        <w:t xml:space="preserve">при </w:t>
      </w:r>
      <w:r w:rsidRPr="00B204B8">
        <w:rPr>
          <w:sz w:val="28"/>
          <w:szCs w:val="28"/>
        </w:rPr>
        <w:t>объедин</w:t>
      </w:r>
      <w:r w:rsidR="00FB3269">
        <w:rPr>
          <w:sz w:val="28"/>
          <w:szCs w:val="28"/>
        </w:rPr>
        <w:t>ении</w:t>
      </w:r>
      <w:r w:rsidRPr="00B204B8">
        <w:rPr>
          <w:sz w:val="28"/>
          <w:szCs w:val="28"/>
        </w:rPr>
        <w:t xml:space="preserve"> детск</w:t>
      </w:r>
      <w:r w:rsidR="00FB3269">
        <w:rPr>
          <w:sz w:val="28"/>
          <w:szCs w:val="28"/>
        </w:rPr>
        <w:t>ого</w:t>
      </w:r>
      <w:r w:rsidRPr="00B204B8">
        <w:rPr>
          <w:sz w:val="28"/>
          <w:szCs w:val="28"/>
        </w:rPr>
        <w:t xml:space="preserve"> сад</w:t>
      </w:r>
      <w:r w:rsidR="00FB3269">
        <w:rPr>
          <w:sz w:val="28"/>
          <w:szCs w:val="28"/>
        </w:rPr>
        <w:t>а</w:t>
      </w:r>
      <w:r w:rsidRPr="00B204B8">
        <w:rPr>
          <w:sz w:val="28"/>
          <w:szCs w:val="28"/>
        </w:rPr>
        <w:t xml:space="preserve"> и школ</w:t>
      </w:r>
      <w:r w:rsidR="00FB3269">
        <w:rPr>
          <w:sz w:val="28"/>
          <w:szCs w:val="28"/>
        </w:rPr>
        <w:t>ы</w:t>
      </w:r>
      <w:r w:rsidRPr="00B204B8">
        <w:rPr>
          <w:sz w:val="28"/>
          <w:szCs w:val="28"/>
        </w:rPr>
        <w:t xml:space="preserve"> в один комплекс решается вопрос о рациональном использовании площадей и персонала. </w:t>
      </w:r>
      <w:r w:rsidR="00351785">
        <w:rPr>
          <w:sz w:val="28"/>
          <w:szCs w:val="28"/>
        </w:rPr>
        <w:t>Д</w:t>
      </w:r>
      <w:r w:rsidRPr="00B204B8">
        <w:rPr>
          <w:sz w:val="28"/>
          <w:szCs w:val="28"/>
        </w:rPr>
        <w:t>етский сад, таким образом, становится составной частью общеобразовательного учреждения. Группы дошкольного воспитания открыты в 14 сельских школах полуострова (26,9 % от общего количества сельских общеобразовательных учреждений).</w:t>
      </w:r>
    </w:p>
    <w:p w:rsidR="00ED312C" w:rsidRPr="00B204B8" w:rsidRDefault="00ED312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В 2014 году дошкольные учреждения посещали 17,5 тыс. детей. По сравнению с 2013 годом численность увеличилась на 1,1 % или 182 человека.</w:t>
      </w:r>
    </w:p>
    <w:p w:rsidR="00ED312C" w:rsidRPr="00B204B8" w:rsidRDefault="00ED312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На каждые 100 мест в садах края приходилось 96 детей. В 2014 году наш край по данному показателю был на 75 месте по Российской Федерации и на 12 месте по охвату детей дошкольными общеобразовательными учреждениями.</w:t>
      </w:r>
    </w:p>
    <w:p w:rsidR="00ED312C" w:rsidRPr="00B204B8" w:rsidRDefault="00ED312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Всего по краю в 37 дошкольных учреждениях численность детей превышает число мест, а в 20 из них на 100 мест приходится более 100 ребят. Самая благоприятная </w:t>
      </w:r>
      <w:r w:rsidR="00CE0708" w:rsidRPr="00B204B8">
        <w:rPr>
          <w:sz w:val="28"/>
          <w:szCs w:val="28"/>
        </w:rPr>
        <w:t>ситуация с обеспечением детей местами в дошкольных учреждениях сложилась в 2014 году в Алеутском, Соболевском и Усть-Камчатском районах, где на 100 мест приходилось 29, 76 и 79 детей соответственно, а неблагоприятная сложилась в детских садах города Елизово – 112 воспитанников, Олюторского района – 104 ребенка.</w:t>
      </w:r>
    </w:p>
    <w:p w:rsidR="00CE0708" w:rsidRPr="00B204B8" w:rsidRDefault="00CE0708"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При этом, как и в целом по стране, в Камчатском крае слабо развита система сопровождения детей раннего возраста (от 0 до 3 лет), сохраняется </w:t>
      </w:r>
      <w:r w:rsidRPr="00B204B8">
        <w:rPr>
          <w:sz w:val="28"/>
          <w:szCs w:val="28"/>
        </w:rPr>
        <w:lastRenderedPageBreak/>
        <w:t>дефицит мест в детских садах и очередь на услуги дошкольного образования.</w:t>
      </w:r>
    </w:p>
    <w:p w:rsidR="00CE0708" w:rsidRPr="00B204B8" w:rsidRDefault="00CE0708"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В очереди для определения детей в дошкольные учреждения Камчатского края на конец 2014 года числилось 7 507 человек, из них 68,8 % - это дети, проживающие в Петропавловск-Камчатском городском округе. По сравнению с предыдущим годом очередь в целом по краю уменьшилась на 4,6 %, в Петропавловск-Камчатском городском округе – на 3,3 %</w:t>
      </w:r>
      <w:r w:rsidR="00191CD8" w:rsidRPr="00B204B8">
        <w:rPr>
          <w:sz w:val="28"/>
          <w:szCs w:val="28"/>
        </w:rPr>
        <w:t xml:space="preserve">. </w:t>
      </w:r>
      <w:r w:rsidR="000F628D" w:rsidRPr="00B204B8">
        <w:rPr>
          <w:sz w:val="28"/>
          <w:szCs w:val="28"/>
        </w:rPr>
        <w:t xml:space="preserve">В соответствии с планом мероприятий («дорожная карта») «Изменения в сфере образования Камчатского края планируется ликвидировать очередь </w:t>
      </w:r>
      <w:r w:rsidR="00A76EB1" w:rsidRPr="00B204B8">
        <w:rPr>
          <w:sz w:val="28"/>
          <w:szCs w:val="28"/>
        </w:rPr>
        <w:t xml:space="preserve">для определения детей в дошкольные учреждения </w:t>
      </w:r>
      <w:r w:rsidR="000F628D" w:rsidRPr="00B204B8">
        <w:rPr>
          <w:sz w:val="28"/>
          <w:szCs w:val="28"/>
        </w:rPr>
        <w:t>от трех до семи лет в 2015 году.</w:t>
      </w:r>
    </w:p>
    <w:p w:rsidR="00CB496A" w:rsidRPr="00B204B8" w:rsidRDefault="00CB496A"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В </w:t>
      </w:r>
      <w:r w:rsidR="005108AC">
        <w:rPr>
          <w:sz w:val="28"/>
          <w:szCs w:val="28"/>
        </w:rPr>
        <w:t>отчетном году</w:t>
      </w:r>
      <w:r w:rsidRPr="00B204B8">
        <w:rPr>
          <w:sz w:val="28"/>
          <w:szCs w:val="28"/>
        </w:rPr>
        <w:t xml:space="preserve"> в рамках реализации мероприятий по ликвидации очередности в дошкольные образовательные учреждения в Камчатском крае:</w:t>
      </w:r>
    </w:p>
    <w:p w:rsidR="00CB496A" w:rsidRPr="00B204B8" w:rsidRDefault="00CB496A"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 на строительство </w:t>
      </w:r>
      <w:r w:rsidR="00E77E10" w:rsidRPr="00B204B8">
        <w:rPr>
          <w:sz w:val="28"/>
          <w:szCs w:val="28"/>
        </w:rPr>
        <w:t xml:space="preserve">детского сада на 220 мест в микрорайоне Центральный г. Вилючинска выделено 5 995,6 тыс. рублей, ввод в эксплуатацию данного объекта планируется </w:t>
      </w:r>
      <w:r w:rsidR="00952ECB">
        <w:rPr>
          <w:sz w:val="28"/>
          <w:szCs w:val="28"/>
        </w:rPr>
        <w:t>в декабре 2015 года</w:t>
      </w:r>
      <w:r w:rsidR="00E77E10" w:rsidRPr="00B204B8">
        <w:rPr>
          <w:sz w:val="28"/>
          <w:szCs w:val="28"/>
        </w:rPr>
        <w:t>;</w:t>
      </w:r>
    </w:p>
    <w:p w:rsidR="00E77E10" w:rsidRPr="00B204B8" w:rsidRDefault="00E77E10"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 на строительство детского сада в микрорайоне северо-восточной части г. Петропавловска-Камчатского выделено 26 444,4 тыс. рублей. Объект введен в эксплуатацию </w:t>
      </w:r>
      <w:r w:rsidR="00952ECB">
        <w:rPr>
          <w:sz w:val="28"/>
          <w:szCs w:val="28"/>
        </w:rPr>
        <w:t xml:space="preserve">в декабре </w:t>
      </w:r>
      <w:r w:rsidRPr="00B204B8">
        <w:rPr>
          <w:sz w:val="28"/>
          <w:szCs w:val="28"/>
        </w:rPr>
        <w:t>2014 года;</w:t>
      </w:r>
    </w:p>
    <w:p w:rsidR="00E77E10" w:rsidRPr="00B204B8" w:rsidRDefault="00E77E10"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на строительство детского сада на 200 мест в п. Ключи Усть-Камчатского района в 2014 году были предусмотрены денежные средства. Объявлен открытый конкурс на выполнение работ по проектированию объекта. Срок выполнения работ февраль 2015 года.</w:t>
      </w:r>
    </w:p>
    <w:p w:rsidR="00E77E10" w:rsidRPr="00B204B8" w:rsidRDefault="00E77E10"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Путевки в дошкольные учреждения края в 2014 году получили 5 062 ребенка, что на 7,4 % больше, чем в предыдущем году.</w:t>
      </w:r>
    </w:p>
    <w:p w:rsidR="00966041" w:rsidRPr="00B204B8" w:rsidRDefault="00966041"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Ежегодно дошкольные образовательные учреждения используют возможности дополнительного образования детей в различных кружках и секциях. Помимо бесплатных</w:t>
      </w:r>
      <w:r w:rsidR="00952ECB">
        <w:rPr>
          <w:sz w:val="28"/>
          <w:szCs w:val="28"/>
        </w:rPr>
        <w:t>,</w:t>
      </w:r>
      <w:r w:rsidRPr="00B204B8">
        <w:rPr>
          <w:sz w:val="28"/>
          <w:szCs w:val="28"/>
        </w:rPr>
        <w:t xml:space="preserve"> в детских садах появились платные дополнительные услуги, выходящие за рамки основной общеобразовательной деятельности.</w:t>
      </w:r>
    </w:p>
    <w:p w:rsidR="00966041" w:rsidRPr="00B204B8" w:rsidRDefault="00966041"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В 2014 году в 10 дошкольных учреждениях края оказывались платные дополнительные общеобразовательные услуги 819 воспитанникам (в 2013 году – в 9 учреждениях, 404 воспитанникам) по занятиям в различных кружках и секциях, занятиям с использованием компьютерных игр и другим направлениям. Все дошкольные учреждения, где дети получают платные дополнительные услуги, расположены в городах края.</w:t>
      </w:r>
    </w:p>
    <w:p w:rsidR="00966041" w:rsidRPr="00B204B8" w:rsidRDefault="00966041"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На бесплатной основе в дошкольных учреждениях края действовало 193 кружка (секций) с численностью обучающихся 4 814 человек (в 2013 году – 4 229 человек) по таким направлениям как: художественно-эстетическое (66 кружков, 1 885 детей), физкультурно-оздоровительное (52 кружка, 1 401 ребенок) и другие.</w:t>
      </w:r>
    </w:p>
    <w:p w:rsidR="00D64253" w:rsidRPr="00B204B8" w:rsidRDefault="00BD41EB" w:rsidP="0030466A">
      <w:pPr>
        <w:pStyle w:val="3"/>
        <w:widowControl w:val="0"/>
        <w:shd w:val="clear" w:color="auto" w:fill="FFFFFF"/>
        <w:autoSpaceDE w:val="0"/>
        <w:autoSpaceDN w:val="0"/>
        <w:adjustRightInd w:val="0"/>
        <w:spacing w:after="0"/>
        <w:ind w:firstLine="709"/>
        <w:jc w:val="both"/>
        <w:rPr>
          <w:b/>
          <w:sz w:val="28"/>
          <w:szCs w:val="28"/>
        </w:rPr>
      </w:pPr>
      <w:r w:rsidRPr="00B204B8">
        <w:rPr>
          <w:sz w:val="28"/>
          <w:szCs w:val="28"/>
        </w:rPr>
        <w:t>По результатам комплексной оценки сводные индексы показателей</w:t>
      </w:r>
      <w:r w:rsidR="0069198B" w:rsidRPr="00B204B8">
        <w:rPr>
          <w:sz w:val="28"/>
          <w:szCs w:val="28"/>
        </w:rPr>
        <w:t>,</w:t>
      </w:r>
      <w:r w:rsidRPr="00B204B8">
        <w:rPr>
          <w:sz w:val="28"/>
          <w:szCs w:val="28"/>
        </w:rPr>
        <w:t xml:space="preserve"> отражающие объемы и динамику</w:t>
      </w:r>
      <w:r w:rsidR="00124249" w:rsidRPr="00B204B8">
        <w:rPr>
          <w:sz w:val="28"/>
          <w:szCs w:val="28"/>
        </w:rPr>
        <w:t xml:space="preserve"> </w:t>
      </w:r>
      <w:r w:rsidRPr="00B204B8">
        <w:rPr>
          <w:sz w:val="28"/>
          <w:szCs w:val="28"/>
        </w:rPr>
        <w:t>обеспеченности детей в возрасте от двух до семи лет местами в дошкольных учреждениях и состояние дошкольных учреждений</w:t>
      </w:r>
      <w:r w:rsidR="00F45BFB">
        <w:rPr>
          <w:sz w:val="28"/>
          <w:szCs w:val="28"/>
        </w:rPr>
        <w:t>,</w:t>
      </w:r>
      <w:r w:rsidRPr="00B204B8">
        <w:rPr>
          <w:sz w:val="28"/>
          <w:szCs w:val="28"/>
        </w:rPr>
        <w:t xml:space="preserve"> сложились следующим образом (рисунок </w:t>
      </w:r>
      <w:r w:rsidR="00393643" w:rsidRPr="00B204B8">
        <w:rPr>
          <w:sz w:val="28"/>
          <w:szCs w:val="28"/>
        </w:rPr>
        <w:t>8</w:t>
      </w:r>
      <w:r w:rsidRPr="00B204B8">
        <w:rPr>
          <w:sz w:val="28"/>
          <w:szCs w:val="28"/>
        </w:rPr>
        <w:t>,</w:t>
      </w:r>
      <w:r w:rsidR="00393643" w:rsidRPr="00B204B8">
        <w:rPr>
          <w:sz w:val="28"/>
          <w:szCs w:val="28"/>
        </w:rPr>
        <w:t>9</w:t>
      </w:r>
      <w:r w:rsidRPr="00B204B8">
        <w:rPr>
          <w:sz w:val="28"/>
          <w:szCs w:val="28"/>
        </w:rPr>
        <w:t>)</w:t>
      </w:r>
      <w:r w:rsidR="00C85BAE">
        <w:rPr>
          <w:sz w:val="28"/>
          <w:szCs w:val="28"/>
        </w:rPr>
        <w:t>:</w:t>
      </w:r>
      <w:r w:rsidR="008174D9" w:rsidRPr="00B204B8">
        <w:rPr>
          <w:b/>
          <w:sz w:val="28"/>
          <w:szCs w:val="28"/>
        </w:rPr>
        <w:t xml:space="preserve">                                        </w:t>
      </w:r>
    </w:p>
    <w:p w:rsidR="00BD41EB" w:rsidRPr="0030466A" w:rsidRDefault="00BD41EB" w:rsidP="0030466A">
      <w:pPr>
        <w:tabs>
          <w:tab w:val="num" w:pos="720"/>
        </w:tabs>
        <w:ind w:firstLine="709"/>
        <w:rPr>
          <w:b/>
          <w:sz w:val="28"/>
          <w:szCs w:val="28"/>
        </w:rPr>
      </w:pPr>
    </w:p>
    <w:p w:rsidR="009D4C77" w:rsidRPr="00B204B8" w:rsidRDefault="00D64253" w:rsidP="00D64253">
      <w:pPr>
        <w:jc w:val="both"/>
        <w:rPr>
          <w:rFonts w:ascii="TimesNewRomanPSMT" w:hAnsi="TimesNewRomanPSMT" w:hint="eastAsia"/>
          <w:b/>
          <w:sz w:val="28"/>
          <w:szCs w:val="28"/>
        </w:rPr>
      </w:pPr>
      <w:r w:rsidRPr="00B204B8">
        <w:rPr>
          <w:noProof/>
          <w:sz w:val="20"/>
          <w:szCs w:val="20"/>
          <w:lang w:eastAsia="ru-RU"/>
        </w:rPr>
        <w:drawing>
          <wp:inline distT="0" distB="0" distL="0" distR="0" wp14:anchorId="76E089ED" wp14:editId="1F18354C">
            <wp:extent cx="5852160" cy="3729162"/>
            <wp:effectExtent l="0" t="0" r="15240" b="2413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07064E" w:rsidRDefault="0030466A" w:rsidP="0030466A">
      <w:pPr>
        <w:tabs>
          <w:tab w:val="num" w:pos="720"/>
        </w:tabs>
        <w:ind w:firstLine="709"/>
        <w:jc w:val="center"/>
        <w:rPr>
          <w:sz w:val="28"/>
          <w:szCs w:val="28"/>
        </w:rPr>
      </w:pPr>
      <w:r w:rsidRPr="0030466A">
        <w:rPr>
          <w:sz w:val="28"/>
          <w:szCs w:val="28"/>
        </w:rPr>
        <w:t>Рисунок 8</w:t>
      </w:r>
    </w:p>
    <w:p w:rsidR="0030466A" w:rsidRDefault="0030466A" w:rsidP="0030466A">
      <w:pPr>
        <w:tabs>
          <w:tab w:val="num" w:pos="720"/>
        </w:tabs>
        <w:ind w:firstLine="709"/>
        <w:jc w:val="center"/>
        <w:rPr>
          <w:b/>
          <w:sz w:val="28"/>
          <w:szCs w:val="28"/>
        </w:rPr>
      </w:pPr>
    </w:p>
    <w:p w:rsidR="0030466A" w:rsidRPr="00B204B8" w:rsidRDefault="0030466A" w:rsidP="0007064E">
      <w:pPr>
        <w:tabs>
          <w:tab w:val="num" w:pos="720"/>
        </w:tabs>
        <w:ind w:firstLine="709"/>
        <w:jc w:val="right"/>
        <w:rPr>
          <w:rFonts w:ascii="TimesNewRomanPSMT" w:hAnsi="TimesNewRomanPSMT" w:hint="eastAsia"/>
          <w:b/>
          <w:sz w:val="28"/>
          <w:szCs w:val="28"/>
        </w:rPr>
      </w:pPr>
    </w:p>
    <w:p w:rsidR="0007064E" w:rsidRPr="00B204B8" w:rsidRDefault="0007064E" w:rsidP="00D64253">
      <w:pPr>
        <w:jc w:val="both"/>
        <w:rPr>
          <w:rFonts w:ascii="TimesNewRomanPSMT" w:hAnsi="TimesNewRomanPSMT" w:hint="eastAsia"/>
          <w:b/>
          <w:sz w:val="28"/>
          <w:szCs w:val="28"/>
        </w:rPr>
      </w:pPr>
      <w:r w:rsidRPr="00B204B8">
        <w:rPr>
          <w:noProof/>
          <w:lang w:eastAsia="ru-RU"/>
        </w:rPr>
        <w:drawing>
          <wp:inline distT="0" distB="0" distL="0" distR="0" wp14:anchorId="196B6578" wp14:editId="4820731A">
            <wp:extent cx="5995284" cy="4317558"/>
            <wp:effectExtent l="0" t="0" r="24765" b="26035"/>
            <wp:docPr id="43" name="Диаграмма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5737E" w:rsidRPr="0030466A" w:rsidRDefault="009D4C77" w:rsidP="0069198B">
      <w:pPr>
        <w:tabs>
          <w:tab w:val="num" w:pos="720"/>
        </w:tabs>
        <w:ind w:firstLine="709"/>
        <w:jc w:val="right"/>
        <w:rPr>
          <w:sz w:val="28"/>
          <w:szCs w:val="28"/>
        </w:rPr>
      </w:pPr>
      <w:r w:rsidRPr="00B204B8">
        <w:rPr>
          <w:rFonts w:ascii="TimesNewRomanPSMT" w:hAnsi="TimesNewRomanPSMT"/>
          <w:b/>
          <w:sz w:val="28"/>
          <w:szCs w:val="28"/>
        </w:rPr>
        <w:tab/>
      </w:r>
      <w:r w:rsidRPr="00B204B8">
        <w:rPr>
          <w:rFonts w:ascii="TimesNewRomanPSMT" w:hAnsi="TimesNewRomanPSMT"/>
          <w:b/>
          <w:sz w:val="28"/>
          <w:szCs w:val="28"/>
        </w:rPr>
        <w:tab/>
      </w:r>
      <w:r w:rsidR="0030466A" w:rsidRPr="0030466A">
        <w:rPr>
          <w:rFonts w:ascii="TimesNewRomanPSMT" w:hAnsi="TimesNewRomanPSMT"/>
          <w:sz w:val="28"/>
          <w:szCs w:val="28"/>
        </w:rPr>
        <w:t>Рисунок 9</w:t>
      </w:r>
      <w:r w:rsidRPr="0030466A">
        <w:rPr>
          <w:rFonts w:ascii="TimesNewRomanPSMT" w:hAnsi="TimesNewRomanPSMT"/>
          <w:sz w:val="28"/>
          <w:szCs w:val="28"/>
        </w:rPr>
        <w:tab/>
      </w:r>
      <w:r w:rsidRPr="0030466A">
        <w:rPr>
          <w:rFonts w:ascii="TimesNewRomanPSMT" w:hAnsi="TimesNewRomanPSMT"/>
          <w:sz w:val="28"/>
          <w:szCs w:val="28"/>
        </w:rPr>
        <w:tab/>
      </w:r>
      <w:r w:rsidRPr="0030466A">
        <w:rPr>
          <w:rFonts w:ascii="TimesNewRomanPSMT" w:hAnsi="TimesNewRomanPSMT"/>
          <w:sz w:val="28"/>
          <w:szCs w:val="28"/>
        </w:rPr>
        <w:tab/>
      </w:r>
      <w:r w:rsidRPr="0030466A">
        <w:rPr>
          <w:rFonts w:ascii="TimesNewRomanPSMT" w:hAnsi="TimesNewRomanPSMT"/>
          <w:sz w:val="28"/>
          <w:szCs w:val="28"/>
        </w:rPr>
        <w:tab/>
      </w:r>
      <w:r w:rsidRPr="0030466A">
        <w:rPr>
          <w:rFonts w:ascii="TimesNewRomanPSMT" w:hAnsi="TimesNewRomanPSMT"/>
          <w:sz w:val="28"/>
          <w:szCs w:val="28"/>
        </w:rPr>
        <w:tab/>
      </w:r>
      <w:r w:rsidRPr="0030466A">
        <w:rPr>
          <w:rFonts w:ascii="TimesNewRomanPSMT" w:hAnsi="TimesNewRomanPSMT"/>
          <w:sz w:val="28"/>
          <w:szCs w:val="28"/>
        </w:rPr>
        <w:tab/>
      </w:r>
      <w:r w:rsidR="0005737E" w:rsidRPr="0030466A">
        <w:rPr>
          <w:sz w:val="28"/>
          <w:szCs w:val="28"/>
        </w:rPr>
        <w:t xml:space="preserve"> </w:t>
      </w:r>
    </w:p>
    <w:p w:rsidR="0069198B" w:rsidRPr="00B204B8" w:rsidRDefault="0069198B" w:rsidP="0005737E">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lastRenderedPageBreak/>
        <w:t>Результаты оценки распределили лидирующие места в следующем порядке:</w:t>
      </w:r>
    </w:p>
    <w:p w:rsidR="0005737E" w:rsidRPr="00B204B8" w:rsidRDefault="0005737E" w:rsidP="0005737E">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Муниципальные районы</w:t>
      </w:r>
    </w:p>
    <w:p w:rsidR="0005737E" w:rsidRPr="00B204B8" w:rsidRDefault="0005737E" w:rsidP="0005737E">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1) Соболевский</w:t>
      </w:r>
    </w:p>
    <w:p w:rsidR="0005737E" w:rsidRPr="00B204B8" w:rsidRDefault="0005737E" w:rsidP="0005737E">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2) </w:t>
      </w:r>
      <w:r w:rsidR="00F3023C" w:rsidRPr="00B204B8">
        <w:rPr>
          <w:sz w:val="28"/>
          <w:szCs w:val="28"/>
        </w:rPr>
        <w:t>Усть-Камчатский</w:t>
      </w:r>
    </w:p>
    <w:p w:rsidR="0005737E" w:rsidRPr="00B204B8" w:rsidRDefault="00F3023C" w:rsidP="0005737E">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3) Тигильский</w:t>
      </w:r>
    </w:p>
    <w:p w:rsidR="0005737E" w:rsidRPr="00B204B8" w:rsidRDefault="0005737E" w:rsidP="0005737E">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Городской округ </w:t>
      </w:r>
    </w:p>
    <w:p w:rsidR="0005737E" w:rsidRPr="00B204B8" w:rsidRDefault="0005737E" w:rsidP="0005737E">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1) </w:t>
      </w:r>
      <w:r w:rsidR="00D04C14">
        <w:rPr>
          <w:sz w:val="28"/>
          <w:szCs w:val="28"/>
        </w:rPr>
        <w:t xml:space="preserve">п. </w:t>
      </w:r>
      <w:r w:rsidRPr="00B204B8">
        <w:rPr>
          <w:sz w:val="28"/>
          <w:szCs w:val="28"/>
        </w:rPr>
        <w:t>Палана</w:t>
      </w:r>
    </w:p>
    <w:p w:rsidR="00BD41EB" w:rsidRPr="00B204B8" w:rsidRDefault="00BD41EB" w:rsidP="005E3293">
      <w:pPr>
        <w:tabs>
          <w:tab w:val="num" w:pos="720"/>
        </w:tabs>
        <w:jc w:val="both"/>
        <w:rPr>
          <w:rFonts w:ascii="TimesNewRomanPSMT" w:hAnsi="TimesNewRomanPSMT" w:hint="eastAsia"/>
          <w:sz w:val="28"/>
          <w:szCs w:val="28"/>
        </w:rPr>
      </w:pPr>
    </w:p>
    <w:p w:rsidR="00BD41EB" w:rsidRPr="00B204B8" w:rsidRDefault="00BD41EB" w:rsidP="00A25541">
      <w:pPr>
        <w:tabs>
          <w:tab w:val="num" w:pos="720"/>
        </w:tabs>
        <w:ind w:firstLine="709"/>
        <w:jc w:val="center"/>
        <w:rPr>
          <w:b/>
          <w:sz w:val="28"/>
          <w:szCs w:val="28"/>
        </w:rPr>
      </w:pPr>
      <w:r w:rsidRPr="00B204B8">
        <w:rPr>
          <w:b/>
          <w:sz w:val="28"/>
          <w:szCs w:val="28"/>
        </w:rPr>
        <w:t>3. Общее и дополнительное образование</w:t>
      </w:r>
    </w:p>
    <w:p w:rsidR="00BD41EB" w:rsidRPr="00B204B8" w:rsidRDefault="00BD41EB" w:rsidP="00FE3974">
      <w:pPr>
        <w:pStyle w:val="3"/>
        <w:widowControl w:val="0"/>
        <w:shd w:val="clear" w:color="auto" w:fill="FFFFFF"/>
        <w:autoSpaceDE w:val="0"/>
        <w:autoSpaceDN w:val="0"/>
        <w:adjustRightInd w:val="0"/>
        <w:spacing w:after="0"/>
        <w:ind w:firstLine="709"/>
        <w:jc w:val="both"/>
        <w:rPr>
          <w:sz w:val="28"/>
          <w:szCs w:val="28"/>
        </w:rPr>
      </w:pPr>
    </w:p>
    <w:p w:rsidR="00087382" w:rsidRPr="00B204B8" w:rsidRDefault="00087382"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Под общим образованием понимается освоение ребенком двух основных категорий знаний, необходимых для адаптации в социальной жизни и являющихся базой для получения последующего специального образования. В России существует три общеобразовательные ступени: начальное, основное и среднее (полное) общее образование. Все они претворяются в жизнь в рамках средней школы и являются обязательными для каждого российского гражданина.</w:t>
      </w:r>
    </w:p>
    <w:p w:rsidR="00087382" w:rsidRPr="00B204B8" w:rsidRDefault="00087382"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На начало 2014/2015 учебного года в Камчатском крае работали 123 государственных и муниципальных общеобразовательных учреждения, в которых обучались 34,5 тыс. школьников.</w:t>
      </w:r>
    </w:p>
    <w:p w:rsidR="00332674" w:rsidRPr="00B204B8" w:rsidRDefault="00087382"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Внутреннее структурное деление общеобразовательных учреждений Камчатского края представлено 6 вечерними школами и 116 </w:t>
      </w:r>
      <w:r w:rsidR="00332674" w:rsidRPr="00B204B8">
        <w:rPr>
          <w:sz w:val="28"/>
          <w:szCs w:val="28"/>
        </w:rPr>
        <w:t xml:space="preserve">дневными </w:t>
      </w:r>
      <w:r w:rsidRPr="00B204B8">
        <w:rPr>
          <w:sz w:val="28"/>
          <w:szCs w:val="28"/>
        </w:rPr>
        <w:t xml:space="preserve">общеобразовательными учреждениями. В состав </w:t>
      </w:r>
      <w:r w:rsidR="00332674" w:rsidRPr="00B204B8">
        <w:rPr>
          <w:sz w:val="28"/>
          <w:szCs w:val="28"/>
        </w:rPr>
        <w:t xml:space="preserve">дневных </w:t>
      </w:r>
      <w:r w:rsidRPr="00B204B8">
        <w:rPr>
          <w:sz w:val="28"/>
          <w:szCs w:val="28"/>
        </w:rPr>
        <w:t>общеобраз</w:t>
      </w:r>
      <w:r w:rsidR="00332674" w:rsidRPr="00B204B8">
        <w:rPr>
          <w:sz w:val="28"/>
          <w:szCs w:val="28"/>
        </w:rPr>
        <w:t xml:space="preserve">овательных учреждений входят: 3 начальные школы, 1 гимназия, 2 лицея, 15 основных школ, 84 средние школы, 5 общеобразовательных учреждений для детей-сирот, 5 специальных коррекционных школ, 1 оздоровительное общеобразовательное учреждение. </w:t>
      </w:r>
    </w:p>
    <w:p w:rsidR="00136025" w:rsidRPr="00B204B8" w:rsidRDefault="00136025"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Дневные общеобразовательные школы по количественному составу практически в равных долях находятся в городской и сельской местностях. При этом городские школы принимают до 76,2 % общей численности учащихся. </w:t>
      </w:r>
    </w:p>
    <w:p w:rsidR="00136025" w:rsidRPr="00B204B8" w:rsidRDefault="00136025"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Неизменным остается число дневных общеобразовательных учреждений (три школы), осуществляющих подготовку обучающихся с повышенным уровнем знаний. В них обучается 1,2 тыс. человек, из готорых на долю гимназии приходится 77,4 % учащихся, на долю лицеев – 22,6 % от общего числа обучающихся в школах с повышенным уровнем знаний.</w:t>
      </w:r>
    </w:p>
    <w:p w:rsidR="00136025" w:rsidRPr="00B204B8" w:rsidRDefault="00136025"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В двух школах с углубленным изучением предметов численность обучающихся по сравнению с предыдущим годом уменьшилась на 2,0 %, составив 1551 человек.</w:t>
      </w:r>
    </w:p>
    <w:p w:rsidR="00332674" w:rsidRPr="00B204B8" w:rsidRDefault="00136025"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В Камчатском крае 84,6 % общей численности всех школьников обучается в 84 средних (полных) школах, в среднем на одну школу приходится 339 учащихся (в 2013/2014 учебном году – 84 школы, 84,3 % численности, 337 человек на одну школу). В городской местности работает </w:t>
      </w:r>
      <w:r w:rsidRPr="00B204B8">
        <w:rPr>
          <w:sz w:val="28"/>
          <w:szCs w:val="28"/>
        </w:rPr>
        <w:lastRenderedPageBreak/>
        <w:t xml:space="preserve">44,0 % всех средних школ и в них обучается 74,3 % всех получающих среднее образование. </w:t>
      </w:r>
      <w:r w:rsidR="00470E7C" w:rsidRPr="00B204B8">
        <w:rPr>
          <w:sz w:val="28"/>
          <w:szCs w:val="28"/>
        </w:rPr>
        <w:t>В городской местности в среднем на одну школу приходится 572 учащихся, в сельской – 156.</w:t>
      </w:r>
    </w:p>
    <w:p w:rsidR="00470E7C" w:rsidRPr="00B204B8" w:rsidRDefault="00470E7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Для современной системы общественного воспитания актуальными остаются задачи реабилитации детей, коррекции их здоровья. Создаются специализированные учреждения, группы для детей с различными нарушениями здоровья.</w:t>
      </w:r>
    </w:p>
    <w:p w:rsidR="00470E7C" w:rsidRPr="00B204B8" w:rsidRDefault="00470E7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В Камчатском крае действует 5 специальных (коррекционных) школ и классов в дневных учреждениях для детей с отклонениями в развитии. Обучением охвачено 886 школьников или 2,6 % общей численности учащихся (в 2013/2014 учебном году – 5 школ, 856 учеников), из них 492 человека обучаются в классах. В данных учреждениях постоянно совершенствуется работа по обучению педагогов, родителей (законных представителей) детей с ограниченными возможностями здоровья методикам и технологиям коррекционно-реабилитационной работы с детьми. Для этого специалистами разработаны рекомендации, проведены обучающие семинары, цикл радиопередач.</w:t>
      </w:r>
    </w:p>
    <w:p w:rsidR="00910229" w:rsidRPr="00B204B8" w:rsidRDefault="000E192F"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В 2014 году на базе Центра дистанционного обучения детей КГБОУ СПО «Камчатский педагогический колледж»</w:t>
      </w:r>
      <w:r w:rsidR="000A2D64" w:rsidRPr="00B204B8">
        <w:rPr>
          <w:sz w:val="28"/>
          <w:szCs w:val="28"/>
        </w:rPr>
        <w:t xml:space="preserve"> организовано обучение 298 учащихся из 14 образовательных учреждений восьми муниципальных образований Камчатского края. Преподавание велось по программам начального, основного общего, среднего (полного) общего образования (базовые курсы), а также осущес</w:t>
      </w:r>
      <w:r w:rsidR="00910229" w:rsidRPr="00B204B8">
        <w:rPr>
          <w:sz w:val="28"/>
          <w:szCs w:val="28"/>
        </w:rPr>
        <w:t>т</w:t>
      </w:r>
      <w:r w:rsidR="000A2D64" w:rsidRPr="00B204B8">
        <w:rPr>
          <w:sz w:val="28"/>
          <w:szCs w:val="28"/>
        </w:rPr>
        <w:t>влялась</w:t>
      </w:r>
      <w:r w:rsidR="00910229" w:rsidRPr="00B204B8">
        <w:rPr>
          <w:sz w:val="28"/>
          <w:szCs w:val="28"/>
        </w:rPr>
        <w:t xml:space="preserve"> подготовка к итоговой аттестации за курс среднего (полного) общего образования в формате ЕГЭ. Преподавание осуществляли 16 сетевых педагогов.</w:t>
      </w:r>
    </w:p>
    <w:p w:rsidR="00910229" w:rsidRPr="00B204B8" w:rsidRDefault="00910229"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Количество детей – инвалидов, обучающихся индивидуально на дому в 2014 году, составляет – 117 человек (40,5 %). Из них 42 человека (14,5 %) – обучались с использованием дистанционных технологий. </w:t>
      </w:r>
    </w:p>
    <w:p w:rsidR="00910229" w:rsidRPr="00B204B8" w:rsidRDefault="00910229"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Кроме того, на дому индивидуально по специальным программам обучаются 215 человек, из них 66 детей – с использованием дистанционных технологий, 65 человек получают знания в форме семейного образования (в 2013/2014 учебном году – 219 и 6 человек, соответственно).</w:t>
      </w:r>
    </w:p>
    <w:p w:rsidR="00BA49DB" w:rsidRPr="00B204B8" w:rsidRDefault="00BA49DB"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Работающая молодежь или молодежь, по каким-либо причинам не получившая образование в типовой школе, имеет возможность получить среднее образование в 6 вечерних (сменных) общеобразовательных учреждениях края. На начало 2014/2015 учебного года численность учащихся в вечерних школах составляла 802 человека (на начало 2013/2014 – 842 человека).</w:t>
      </w:r>
    </w:p>
    <w:p w:rsidR="00BA49DB" w:rsidRPr="00B204B8" w:rsidRDefault="00BA49DB"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Четверть дневных общеобразовательных школ региона приступили к работе в 2014/2015 учебном году в две смены, но при этом необходимо отметить, что 88,2 % всех, посещающих дневные общеобразовательные школы, обучаются в первую смену.</w:t>
      </w:r>
    </w:p>
    <w:p w:rsidR="00BA49DB" w:rsidRPr="00B204B8" w:rsidRDefault="00BA49DB"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В 107 дневных общеобразовательных учреждениях организованы группы продленного дня, охватывающие 10,1 тыс. учащихся 1-9 классов (в </w:t>
      </w:r>
      <w:r w:rsidRPr="00B204B8">
        <w:rPr>
          <w:sz w:val="28"/>
          <w:szCs w:val="28"/>
        </w:rPr>
        <w:lastRenderedPageBreak/>
        <w:t>2013/2014 – 105 школ и 9,9 тыс. школьников). Охват учащихся группами продленного дня на начало 2014/2015 учебного года составил 29,9 %, в том числе учащихся 1-4 классов – 84,8 % (в 2013/2014 – 33,7 % и 59,9 %, соответственно).</w:t>
      </w:r>
    </w:p>
    <w:p w:rsidR="00BA49DB" w:rsidRPr="00B204B8" w:rsidRDefault="00BA49DB"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В рамках совершенствования дистанционного образования в Камчатском крае в 2014 году обеспечена организация дистанционного обучения для детей из отдаленных и труднодоступных местностей. </w:t>
      </w:r>
    </w:p>
    <w:p w:rsidR="00BA49DB" w:rsidRPr="00B204B8" w:rsidRDefault="00BA49DB"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В 2014 году </w:t>
      </w:r>
      <w:r w:rsidR="001175B6" w:rsidRPr="00B204B8">
        <w:rPr>
          <w:sz w:val="28"/>
          <w:szCs w:val="28"/>
        </w:rPr>
        <w:t>окончили основную школу и получили аттестат об основном общем образовании 2,7 тыс. человек, из них 98,6 % - выпускники дневных школ (в 2013 году – 2,9 тыс. человек, 95,8 %). Численность выпускников средней (полной) школы в 2014 году составила 1,6 тыс. человек, из них 95,5 % - выпускники дневных школ (в 2013 году – 1,7 тыс. человек, 95,1 %).</w:t>
      </w:r>
    </w:p>
    <w:p w:rsidR="001175B6" w:rsidRPr="00B204B8" w:rsidRDefault="001175B6"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К выпускным экзаменам в 2014 году были допущены 1 562 учащихся 11 (12) классов дневных общеобразовательных учреждений, из них в едином государственном экзамене (ЕГЭ) принял участие 1 561 человек. </w:t>
      </w:r>
    </w:p>
    <w:p w:rsidR="001175B6" w:rsidRPr="00B204B8" w:rsidRDefault="001175B6"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По обязательным предметам в форме ЕГЭ в 2014 году сложились следующие результаты экзаменов:</w:t>
      </w:r>
    </w:p>
    <w:p w:rsidR="001175B6" w:rsidRPr="00B204B8" w:rsidRDefault="001175B6"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ЕГЭ по русскому языку – участвовал 1 561 чел.; сдал 1 561 чел.</w:t>
      </w:r>
    </w:p>
    <w:p w:rsidR="001175B6" w:rsidRPr="00B204B8" w:rsidRDefault="001175B6"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ЕГЭ по математике – участвовал 1 561 чел.; сдал 1 558 чел.</w:t>
      </w:r>
    </w:p>
    <w:p w:rsidR="001175B6" w:rsidRPr="00B204B8" w:rsidRDefault="00DB6BA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По итогам проведения единого государственного экзамена в Камчатском крае доля выпускников 11-х классов, не получивших аттестат о среднем общем образовании, снизилась по сравнению с 2013 годом на 5,6 %.</w:t>
      </w:r>
    </w:p>
    <w:p w:rsidR="00DB6BAC" w:rsidRPr="00B204B8" w:rsidRDefault="00DB6BAC"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В Камчатском крае в 2014 году было выпущено 108 золотых и серебряных медалей «За особые успехи в учении».</w:t>
      </w:r>
      <w:r w:rsidR="00BB199D" w:rsidRPr="00B204B8">
        <w:rPr>
          <w:sz w:val="28"/>
          <w:szCs w:val="28"/>
        </w:rPr>
        <w:t xml:space="preserve"> По результатам обучения и сдачи выпускных экзаменов 77 ребят награждены Золотой медалью «За особые успехи в учении» и 31 человек – Серебряной.</w:t>
      </w:r>
    </w:p>
    <w:p w:rsidR="00910229" w:rsidRPr="00B204B8" w:rsidRDefault="00EE3C00"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На начало 2014/2015 учебного года в дневных общеобразовательных учреждениях функционировали 964 кружка, в них занимался 21 481 школьник. Из общего количества кружков 18 работали на платной основе и охватывали 182 школьника, что на 9,6 % больше, чем в 2013 году.</w:t>
      </w:r>
    </w:p>
    <w:p w:rsidR="00EE3C00" w:rsidRPr="00B204B8" w:rsidRDefault="00EE3C00"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По тематическим направлениям кружки распределялись следующим образом: 269 – художественного творчества, 232 – спортивные, 65 – технические, 44 – эколого-биологические, 35 – туристско-краеведческие и 319 – по другим направлениям.</w:t>
      </w:r>
    </w:p>
    <w:p w:rsidR="00EE3C00" w:rsidRPr="00B204B8" w:rsidRDefault="000F2361"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Учебный процесс во многом зависит от состояния </w:t>
      </w:r>
      <w:r w:rsidR="00EA2164" w:rsidRPr="00B204B8">
        <w:rPr>
          <w:sz w:val="28"/>
          <w:szCs w:val="28"/>
        </w:rPr>
        <w:t xml:space="preserve">материальной базы образовательных учреждений. По состоянию на начало 2014/2015 учебного года в Камчатском крае число дневных общеобразовательных учреждений, которым требовался капитальный ремонт, уменьшилось с 3 до 1. </w:t>
      </w:r>
      <w:r w:rsidR="001F4A02" w:rsidRPr="00B204B8">
        <w:rPr>
          <w:sz w:val="28"/>
          <w:szCs w:val="28"/>
        </w:rPr>
        <w:t>Все виды благоустройства (водопровод, отопление, канализацию) имеют 114 школ или 98,3 % от общего количества дневных общеобразовательных учреждений.</w:t>
      </w:r>
    </w:p>
    <w:p w:rsidR="001F4A02" w:rsidRPr="00B204B8" w:rsidRDefault="001F4A02" w:rsidP="00FE3974">
      <w:pPr>
        <w:pStyle w:val="3"/>
        <w:widowControl w:val="0"/>
        <w:shd w:val="clear" w:color="auto" w:fill="FFFFFF"/>
        <w:autoSpaceDE w:val="0"/>
        <w:autoSpaceDN w:val="0"/>
        <w:adjustRightInd w:val="0"/>
        <w:spacing w:after="0"/>
        <w:ind w:firstLine="709"/>
        <w:jc w:val="both"/>
        <w:rPr>
          <w:sz w:val="28"/>
          <w:szCs w:val="28"/>
        </w:rPr>
      </w:pPr>
      <w:r w:rsidRPr="00B204B8">
        <w:rPr>
          <w:sz w:val="28"/>
          <w:szCs w:val="28"/>
        </w:rPr>
        <w:t xml:space="preserve">Кроме того, в числе приоритетных остались и такие направления, как приобретение оборудования для школьных столовых, медицинских кабинетов, спортивных залов; текущие ремонты с целью установки нового </w:t>
      </w:r>
      <w:r w:rsidRPr="00B204B8">
        <w:rPr>
          <w:sz w:val="28"/>
          <w:szCs w:val="28"/>
        </w:rPr>
        <w:lastRenderedPageBreak/>
        <w:t>оборудования. Эти направления реализуются непосредственно органами местного самоуправления за счет субсидий.</w:t>
      </w:r>
    </w:p>
    <w:p w:rsidR="002F7027" w:rsidRPr="00B204B8" w:rsidRDefault="00BD41EB" w:rsidP="002F7027">
      <w:pPr>
        <w:widowControl w:val="0"/>
        <w:ind w:firstLine="709"/>
        <w:jc w:val="both"/>
        <w:rPr>
          <w:sz w:val="28"/>
          <w:szCs w:val="28"/>
        </w:rPr>
      </w:pPr>
      <w:r w:rsidRPr="00B204B8">
        <w:rPr>
          <w:sz w:val="28"/>
          <w:szCs w:val="28"/>
        </w:rPr>
        <w:t>Сводные индексы показателей</w:t>
      </w:r>
      <w:r w:rsidR="00F8255D">
        <w:rPr>
          <w:sz w:val="28"/>
          <w:szCs w:val="28"/>
        </w:rPr>
        <w:t>,</w:t>
      </w:r>
      <w:r w:rsidRPr="00B204B8">
        <w:rPr>
          <w:sz w:val="28"/>
          <w:szCs w:val="28"/>
        </w:rPr>
        <w:t xml:space="preserve"> характеризующих эффективность деятельности органов местного самоуправления в сфере общего и дополнительного образования</w:t>
      </w:r>
      <w:r w:rsidR="00F8255D">
        <w:rPr>
          <w:sz w:val="28"/>
          <w:szCs w:val="28"/>
        </w:rPr>
        <w:t>,</w:t>
      </w:r>
      <w:r w:rsidRPr="00B204B8">
        <w:rPr>
          <w:sz w:val="28"/>
          <w:szCs w:val="28"/>
        </w:rPr>
        <w:t xml:space="preserve"> сложились следующим образом (рисунок</w:t>
      </w:r>
      <w:r w:rsidR="003249C1" w:rsidRPr="00B204B8">
        <w:rPr>
          <w:sz w:val="28"/>
          <w:szCs w:val="28"/>
        </w:rPr>
        <w:t xml:space="preserve"> 10,11</w:t>
      </w:r>
      <w:r w:rsidRPr="00B204B8">
        <w:rPr>
          <w:sz w:val="28"/>
          <w:szCs w:val="28"/>
        </w:rPr>
        <w:t>)</w:t>
      </w:r>
      <w:r w:rsidR="00F8255D">
        <w:rPr>
          <w:sz w:val="28"/>
          <w:szCs w:val="28"/>
        </w:rPr>
        <w:t>:</w:t>
      </w:r>
    </w:p>
    <w:p w:rsidR="00A74795" w:rsidRPr="00B204B8" w:rsidRDefault="009F24E4" w:rsidP="00D03FA9">
      <w:pPr>
        <w:tabs>
          <w:tab w:val="num" w:pos="720"/>
        </w:tabs>
        <w:jc w:val="right"/>
        <w:rPr>
          <w:b/>
          <w:sz w:val="28"/>
          <w:szCs w:val="28"/>
        </w:rPr>
      </w:pPr>
      <w:r w:rsidRPr="00B204B8">
        <w:rPr>
          <w:sz w:val="28"/>
          <w:szCs w:val="28"/>
        </w:rPr>
        <w:t xml:space="preserve"> </w:t>
      </w:r>
      <w:r w:rsidR="002F7027" w:rsidRPr="00B204B8">
        <w:rPr>
          <w:sz w:val="28"/>
          <w:szCs w:val="28"/>
        </w:rPr>
        <w:t xml:space="preserve">  </w:t>
      </w:r>
      <w:r w:rsidR="001467DD" w:rsidRPr="00B204B8">
        <w:rPr>
          <w:sz w:val="28"/>
          <w:szCs w:val="28"/>
        </w:rPr>
        <w:t xml:space="preserve">                                                                                                  </w:t>
      </w:r>
      <w:r w:rsidR="002F7027" w:rsidRPr="00B204B8">
        <w:rPr>
          <w:sz w:val="28"/>
          <w:szCs w:val="28"/>
        </w:rPr>
        <w:t xml:space="preserve">  </w:t>
      </w:r>
      <w:r w:rsidR="00233AEC" w:rsidRPr="00B204B8">
        <w:rPr>
          <w:sz w:val="28"/>
          <w:szCs w:val="28"/>
        </w:rPr>
        <w:t xml:space="preserve">   </w:t>
      </w:r>
      <w:r w:rsidR="002F7027" w:rsidRPr="00B204B8">
        <w:rPr>
          <w:sz w:val="28"/>
          <w:szCs w:val="28"/>
        </w:rPr>
        <w:t xml:space="preserve">   </w:t>
      </w:r>
    </w:p>
    <w:p w:rsidR="00A74795" w:rsidRDefault="008A653D" w:rsidP="00D03FA9">
      <w:pPr>
        <w:tabs>
          <w:tab w:val="num" w:pos="720"/>
        </w:tabs>
        <w:jc w:val="right"/>
        <w:rPr>
          <w:b/>
          <w:sz w:val="28"/>
          <w:szCs w:val="28"/>
        </w:rPr>
      </w:pPr>
      <w:r>
        <w:rPr>
          <w:noProof/>
          <w:lang w:eastAsia="ru-RU"/>
        </w:rPr>
        <w:drawing>
          <wp:inline distT="0" distB="0" distL="0" distR="0" wp14:anchorId="55F76859" wp14:editId="548FD433">
            <wp:extent cx="5939625" cy="6543924"/>
            <wp:effectExtent l="0" t="0" r="23495" b="9525"/>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0466A" w:rsidRPr="0030466A" w:rsidRDefault="0030466A" w:rsidP="0030466A">
      <w:pPr>
        <w:tabs>
          <w:tab w:val="num" w:pos="720"/>
        </w:tabs>
        <w:jc w:val="center"/>
        <w:rPr>
          <w:sz w:val="28"/>
          <w:szCs w:val="28"/>
        </w:rPr>
      </w:pPr>
      <w:r w:rsidRPr="0030466A">
        <w:rPr>
          <w:sz w:val="28"/>
          <w:szCs w:val="28"/>
        </w:rPr>
        <w:t>Рисунок 10</w:t>
      </w:r>
    </w:p>
    <w:p w:rsidR="0030466A" w:rsidRPr="00B204B8" w:rsidRDefault="0030466A" w:rsidP="00D03FA9">
      <w:pPr>
        <w:tabs>
          <w:tab w:val="num" w:pos="720"/>
        </w:tabs>
        <w:jc w:val="right"/>
        <w:rPr>
          <w:b/>
          <w:sz w:val="28"/>
          <w:szCs w:val="28"/>
        </w:rPr>
      </w:pPr>
    </w:p>
    <w:p w:rsidR="009F24E4" w:rsidRPr="00B204B8" w:rsidRDefault="00D565AA" w:rsidP="00D03FA9">
      <w:pPr>
        <w:tabs>
          <w:tab w:val="num" w:pos="720"/>
        </w:tabs>
        <w:jc w:val="right"/>
        <w:rPr>
          <w:b/>
          <w:sz w:val="28"/>
          <w:szCs w:val="28"/>
        </w:rPr>
      </w:pPr>
      <w:r w:rsidRPr="00B204B8">
        <w:rPr>
          <w:noProof/>
          <w:lang w:eastAsia="ru-RU"/>
        </w:rPr>
        <w:lastRenderedPageBreak/>
        <w:drawing>
          <wp:inline distT="0" distB="0" distL="0" distR="0" wp14:anchorId="30B887B2" wp14:editId="323A83B8">
            <wp:extent cx="6003235" cy="4635610"/>
            <wp:effectExtent l="0" t="0" r="17145" b="12700"/>
            <wp:docPr id="45" name="Диаграмма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F24E4" w:rsidRDefault="0030466A" w:rsidP="0030466A">
      <w:pPr>
        <w:tabs>
          <w:tab w:val="num" w:pos="720"/>
        </w:tabs>
        <w:jc w:val="center"/>
        <w:rPr>
          <w:sz w:val="28"/>
          <w:szCs w:val="28"/>
        </w:rPr>
      </w:pPr>
      <w:r w:rsidRPr="0030466A">
        <w:rPr>
          <w:sz w:val="28"/>
          <w:szCs w:val="28"/>
        </w:rPr>
        <w:t>Рисунок 11</w:t>
      </w:r>
    </w:p>
    <w:p w:rsidR="0030466A" w:rsidRPr="0030466A" w:rsidRDefault="0030466A" w:rsidP="0030466A">
      <w:pPr>
        <w:tabs>
          <w:tab w:val="num" w:pos="720"/>
        </w:tabs>
        <w:jc w:val="center"/>
        <w:rPr>
          <w:sz w:val="28"/>
          <w:szCs w:val="28"/>
        </w:rPr>
      </w:pPr>
    </w:p>
    <w:p w:rsidR="003D1844" w:rsidRPr="00B204B8" w:rsidRDefault="003D1844" w:rsidP="003D1844">
      <w:pPr>
        <w:widowControl w:val="0"/>
        <w:ind w:firstLine="709"/>
        <w:jc w:val="both"/>
        <w:rPr>
          <w:sz w:val="28"/>
          <w:szCs w:val="28"/>
        </w:rPr>
      </w:pPr>
      <w:r w:rsidRPr="00B204B8">
        <w:rPr>
          <w:sz w:val="28"/>
          <w:szCs w:val="28"/>
        </w:rPr>
        <w:t xml:space="preserve">Наибольшую эффективность деятельности в области общего и дополнительного образования показали муниципальные районы: </w:t>
      </w:r>
    </w:p>
    <w:p w:rsidR="003D1844" w:rsidRPr="00B204B8" w:rsidRDefault="003D1844" w:rsidP="003D1844">
      <w:pPr>
        <w:widowControl w:val="0"/>
        <w:ind w:firstLine="709"/>
        <w:jc w:val="both"/>
        <w:rPr>
          <w:sz w:val="28"/>
          <w:szCs w:val="28"/>
        </w:rPr>
      </w:pPr>
      <w:r w:rsidRPr="00B204B8">
        <w:rPr>
          <w:sz w:val="28"/>
          <w:szCs w:val="28"/>
        </w:rPr>
        <w:t>1) Алеутский</w:t>
      </w:r>
    </w:p>
    <w:p w:rsidR="003D1844" w:rsidRPr="00B204B8" w:rsidRDefault="003D1844" w:rsidP="003D1844">
      <w:pPr>
        <w:widowControl w:val="0"/>
        <w:ind w:firstLine="709"/>
        <w:jc w:val="both"/>
        <w:rPr>
          <w:sz w:val="28"/>
          <w:szCs w:val="28"/>
        </w:rPr>
      </w:pPr>
      <w:r w:rsidRPr="00B204B8">
        <w:rPr>
          <w:sz w:val="28"/>
          <w:szCs w:val="28"/>
        </w:rPr>
        <w:t xml:space="preserve">2) </w:t>
      </w:r>
      <w:r w:rsidR="002E5A9A" w:rsidRPr="00B204B8">
        <w:rPr>
          <w:sz w:val="28"/>
          <w:szCs w:val="28"/>
        </w:rPr>
        <w:t>Соболевский</w:t>
      </w:r>
    </w:p>
    <w:p w:rsidR="003D1844" w:rsidRPr="00B204B8" w:rsidRDefault="003D1844" w:rsidP="003D1844">
      <w:pPr>
        <w:widowControl w:val="0"/>
        <w:ind w:firstLine="709"/>
        <w:jc w:val="both"/>
        <w:rPr>
          <w:sz w:val="28"/>
          <w:szCs w:val="28"/>
        </w:rPr>
      </w:pPr>
      <w:r w:rsidRPr="00B204B8">
        <w:rPr>
          <w:sz w:val="28"/>
          <w:szCs w:val="28"/>
        </w:rPr>
        <w:t>3) Быстринский</w:t>
      </w:r>
    </w:p>
    <w:p w:rsidR="003D1844" w:rsidRPr="00B204B8" w:rsidRDefault="003D1844" w:rsidP="003D1844">
      <w:pPr>
        <w:widowControl w:val="0"/>
        <w:ind w:firstLine="709"/>
        <w:jc w:val="both"/>
        <w:rPr>
          <w:sz w:val="28"/>
          <w:szCs w:val="28"/>
        </w:rPr>
      </w:pPr>
      <w:r w:rsidRPr="00B204B8">
        <w:rPr>
          <w:sz w:val="28"/>
          <w:szCs w:val="28"/>
        </w:rPr>
        <w:t xml:space="preserve">Городской округ </w:t>
      </w:r>
    </w:p>
    <w:p w:rsidR="003D1844" w:rsidRPr="00B204B8" w:rsidRDefault="003D1844" w:rsidP="003D1844">
      <w:pPr>
        <w:widowControl w:val="0"/>
        <w:ind w:firstLine="709"/>
        <w:jc w:val="both"/>
        <w:rPr>
          <w:sz w:val="28"/>
          <w:szCs w:val="28"/>
        </w:rPr>
      </w:pPr>
      <w:r w:rsidRPr="00B204B8">
        <w:rPr>
          <w:sz w:val="28"/>
          <w:szCs w:val="28"/>
        </w:rPr>
        <w:t xml:space="preserve">1) </w:t>
      </w:r>
      <w:r w:rsidR="00702543" w:rsidRPr="00B204B8">
        <w:rPr>
          <w:sz w:val="28"/>
          <w:szCs w:val="28"/>
        </w:rPr>
        <w:t xml:space="preserve">п. </w:t>
      </w:r>
      <w:r w:rsidRPr="00B204B8">
        <w:rPr>
          <w:sz w:val="28"/>
          <w:szCs w:val="28"/>
        </w:rPr>
        <w:t>Палана</w:t>
      </w:r>
    </w:p>
    <w:p w:rsidR="00BD41EB" w:rsidRPr="00B204B8" w:rsidRDefault="00BD41EB" w:rsidP="00BD41EB">
      <w:pPr>
        <w:tabs>
          <w:tab w:val="num" w:pos="720"/>
        </w:tabs>
        <w:ind w:firstLine="709"/>
        <w:jc w:val="center"/>
        <w:rPr>
          <w:rFonts w:ascii="TimesNewRomanPSMT" w:hAnsi="TimesNewRomanPSMT" w:hint="eastAsia"/>
          <w:b/>
          <w:sz w:val="28"/>
          <w:szCs w:val="28"/>
        </w:rPr>
      </w:pPr>
    </w:p>
    <w:p w:rsidR="00BD41EB" w:rsidRPr="00B204B8" w:rsidRDefault="00BD41EB" w:rsidP="00BD41EB">
      <w:pPr>
        <w:tabs>
          <w:tab w:val="num" w:pos="720"/>
        </w:tabs>
        <w:ind w:firstLine="709"/>
        <w:jc w:val="center"/>
        <w:rPr>
          <w:b/>
          <w:sz w:val="28"/>
          <w:szCs w:val="28"/>
        </w:rPr>
      </w:pPr>
      <w:r w:rsidRPr="00B204B8">
        <w:rPr>
          <w:b/>
          <w:sz w:val="28"/>
          <w:szCs w:val="28"/>
        </w:rPr>
        <w:t>4. Культура</w:t>
      </w:r>
    </w:p>
    <w:p w:rsidR="00BD41EB" w:rsidRPr="00B204B8" w:rsidRDefault="00BD41EB" w:rsidP="00BD41EB">
      <w:pPr>
        <w:widowControl w:val="0"/>
        <w:ind w:firstLine="709"/>
        <w:jc w:val="both"/>
        <w:rPr>
          <w:rFonts w:ascii="TimesNewRomanPSMT" w:hAnsi="TimesNewRomanPSMT" w:hint="eastAsia"/>
          <w:sz w:val="28"/>
          <w:szCs w:val="28"/>
        </w:rPr>
      </w:pPr>
    </w:p>
    <w:p w:rsidR="00F61A74" w:rsidRPr="00B204B8" w:rsidRDefault="00F61A74" w:rsidP="00F61A74">
      <w:pPr>
        <w:widowControl w:val="0"/>
        <w:tabs>
          <w:tab w:val="left" w:pos="709"/>
        </w:tabs>
        <w:ind w:firstLine="709"/>
        <w:jc w:val="both"/>
        <w:rPr>
          <w:rFonts w:eastAsia="Calibri"/>
          <w:sz w:val="28"/>
          <w:szCs w:val="28"/>
          <w:lang w:eastAsia="en-US"/>
        </w:rPr>
      </w:pPr>
      <w:r w:rsidRPr="00B204B8">
        <w:rPr>
          <w:rFonts w:eastAsia="Calibri"/>
          <w:sz w:val="28"/>
          <w:szCs w:val="28"/>
          <w:lang w:eastAsia="en-US"/>
        </w:rPr>
        <w:t>В 2014 году в Камчатском крае действовали 248 учреждений культуры. Их деятельность</w:t>
      </w:r>
      <w:r w:rsidR="004209A7" w:rsidRPr="00B204B8">
        <w:rPr>
          <w:rFonts w:eastAsia="Calibri"/>
          <w:sz w:val="28"/>
          <w:szCs w:val="28"/>
          <w:lang w:eastAsia="en-US"/>
        </w:rPr>
        <w:t xml:space="preserve"> направлена на</w:t>
      </w:r>
      <w:r w:rsidR="008B7ED8" w:rsidRPr="008B7ED8">
        <w:rPr>
          <w:rFonts w:eastAsia="Calibri"/>
          <w:sz w:val="28"/>
          <w:szCs w:val="28"/>
          <w:lang w:eastAsia="en-US"/>
        </w:rPr>
        <w:t xml:space="preserve"> </w:t>
      </w:r>
      <w:r w:rsidR="008B7ED8" w:rsidRPr="00B204B8">
        <w:rPr>
          <w:rFonts w:eastAsia="Calibri"/>
          <w:sz w:val="28"/>
          <w:szCs w:val="28"/>
          <w:lang w:eastAsia="en-US"/>
        </w:rPr>
        <w:t>формировани</w:t>
      </w:r>
      <w:r w:rsidR="008B7ED8">
        <w:rPr>
          <w:rFonts w:eastAsia="Calibri"/>
          <w:sz w:val="28"/>
          <w:szCs w:val="28"/>
          <w:lang w:eastAsia="en-US"/>
        </w:rPr>
        <w:t>е</w:t>
      </w:r>
      <w:r w:rsidR="008B7ED8" w:rsidRPr="00B204B8">
        <w:rPr>
          <w:rFonts w:eastAsia="Calibri"/>
          <w:sz w:val="28"/>
          <w:szCs w:val="28"/>
          <w:lang w:eastAsia="en-US"/>
        </w:rPr>
        <w:t xml:space="preserve"> духовно-нравственных основ личности</w:t>
      </w:r>
      <w:r w:rsidR="008B7ED8">
        <w:rPr>
          <w:rFonts w:eastAsia="Calibri"/>
          <w:sz w:val="28"/>
          <w:szCs w:val="28"/>
          <w:lang w:eastAsia="en-US"/>
        </w:rPr>
        <w:t xml:space="preserve">; </w:t>
      </w:r>
      <w:r w:rsidR="004209A7" w:rsidRPr="00B204B8">
        <w:rPr>
          <w:rFonts w:eastAsia="Calibri"/>
          <w:sz w:val="28"/>
          <w:szCs w:val="28"/>
          <w:lang w:eastAsia="en-US"/>
        </w:rPr>
        <w:t>сохранение и развитие традиционной народной культуры</w:t>
      </w:r>
      <w:r w:rsidR="008B7ED8">
        <w:rPr>
          <w:rFonts w:eastAsia="Calibri"/>
          <w:sz w:val="28"/>
          <w:szCs w:val="28"/>
          <w:lang w:eastAsia="en-US"/>
        </w:rPr>
        <w:t>;</w:t>
      </w:r>
      <w:r w:rsidR="004209A7" w:rsidRPr="00B204B8">
        <w:rPr>
          <w:rFonts w:eastAsia="Calibri"/>
          <w:sz w:val="28"/>
          <w:szCs w:val="28"/>
          <w:lang w:eastAsia="en-US"/>
        </w:rPr>
        <w:t xml:space="preserve"> поддержку художественного любительского творчества, другой самодеятельной творческой инициативы и социально-к</w:t>
      </w:r>
      <w:r w:rsidR="008B7ED8">
        <w:rPr>
          <w:rFonts w:eastAsia="Calibri"/>
          <w:sz w:val="28"/>
          <w:szCs w:val="28"/>
          <w:lang w:eastAsia="en-US"/>
        </w:rPr>
        <w:t xml:space="preserve">ультурной активности населения; </w:t>
      </w:r>
      <w:r w:rsidR="004209A7" w:rsidRPr="00B204B8">
        <w:rPr>
          <w:rFonts w:eastAsia="Calibri"/>
          <w:sz w:val="28"/>
          <w:szCs w:val="28"/>
          <w:lang w:eastAsia="en-US"/>
        </w:rPr>
        <w:t xml:space="preserve">формирование здорового образа жизни. </w:t>
      </w:r>
      <w:r w:rsidRPr="00B204B8">
        <w:rPr>
          <w:rFonts w:eastAsia="Calibri"/>
          <w:sz w:val="28"/>
          <w:szCs w:val="28"/>
          <w:lang w:eastAsia="en-US"/>
        </w:rPr>
        <w:t xml:space="preserve"> </w:t>
      </w:r>
    </w:p>
    <w:p w:rsidR="00674B08" w:rsidRPr="00B204B8" w:rsidRDefault="00674B08" w:rsidP="00674B08">
      <w:pPr>
        <w:widowControl w:val="0"/>
        <w:ind w:firstLine="709"/>
        <w:jc w:val="both"/>
        <w:rPr>
          <w:sz w:val="28"/>
          <w:szCs w:val="28"/>
        </w:rPr>
      </w:pPr>
      <w:r w:rsidRPr="00B204B8">
        <w:rPr>
          <w:sz w:val="28"/>
          <w:szCs w:val="28"/>
        </w:rPr>
        <w:t>Такие учреждения культуры как библиотеки и клубы функционируют в каждом районе Камчатского края.</w:t>
      </w:r>
    </w:p>
    <w:p w:rsidR="00F61A74" w:rsidRPr="00B204B8" w:rsidRDefault="00F61A74" w:rsidP="00F61A74">
      <w:pPr>
        <w:ind w:firstLine="708"/>
        <w:jc w:val="both"/>
        <w:rPr>
          <w:sz w:val="28"/>
          <w:szCs w:val="28"/>
        </w:rPr>
      </w:pPr>
      <w:r w:rsidRPr="00B204B8">
        <w:rPr>
          <w:rFonts w:eastAsia="Calibri"/>
          <w:sz w:val="28"/>
          <w:szCs w:val="28"/>
          <w:lang w:eastAsia="en-US"/>
        </w:rPr>
        <w:t xml:space="preserve">По состоянию на 01.01.2015 года в Камчатском крае действовали 104 общедоступные библиотеки, 80 учреждений культурно-досугового типа и 2 </w:t>
      </w:r>
      <w:r w:rsidRPr="00B204B8">
        <w:rPr>
          <w:rFonts w:eastAsia="Calibri"/>
          <w:sz w:val="28"/>
          <w:szCs w:val="28"/>
          <w:lang w:eastAsia="en-US"/>
        </w:rPr>
        <w:lastRenderedPageBreak/>
        <w:t xml:space="preserve">центра народного творчества, 13 музеев, 2 профессиональных театра и 6 концертных организаций, 38 учреждений дополнительного образования детей (детские музыкальные, художественные школы и школы искусств с филиалами), учебно-методический центр по образованию работников культуры и колледж искусств, 1 зоопарк. </w:t>
      </w:r>
      <w:r w:rsidRPr="00B204B8">
        <w:rPr>
          <w:sz w:val="28"/>
          <w:szCs w:val="28"/>
        </w:rPr>
        <w:t>Сеть муниципальных учреждений культуры в поселениях Камчатского края представлена  в основном библиотеками и клубными учреждениями.</w:t>
      </w:r>
    </w:p>
    <w:p w:rsidR="008E7C4B" w:rsidRPr="00B204B8" w:rsidRDefault="008E7C4B" w:rsidP="008E7C4B">
      <w:pPr>
        <w:shd w:val="clear" w:color="auto" w:fill="FFFFFF"/>
        <w:tabs>
          <w:tab w:val="left" w:pos="1605"/>
        </w:tabs>
        <w:ind w:left="108" w:right="57" w:firstLine="510"/>
        <w:jc w:val="both"/>
        <w:rPr>
          <w:sz w:val="28"/>
          <w:szCs w:val="28"/>
        </w:rPr>
      </w:pPr>
      <w:r w:rsidRPr="00B204B8">
        <w:rPr>
          <w:sz w:val="28"/>
          <w:szCs w:val="28"/>
        </w:rPr>
        <w:t xml:space="preserve">Библиотечная сеть Камчатского края включает в себя 104 общедоступных библиотек, это на 2 единицы меньше, чем в 2013 году. </w:t>
      </w:r>
    </w:p>
    <w:p w:rsidR="008E7C4B" w:rsidRPr="00B204B8" w:rsidRDefault="008E7C4B" w:rsidP="008E7C4B">
      <w:pPr>
        <w:shd w:val="clear" w:color="auto" w:fill="FFFFFF"/>
        <w:tabs>
          <w:tab w:val="left" w:pos="1605"/>
        </w:tabs>
        <w:ind w:left="108" w:right="57" w:firstLine="510"/>
        <w:jc w:val="both"/>
        <w:rPr>
          <w:spacing w:val="2"/>
          <w:sz w:val="28"/>
          <w:szCs w:val="28"/>
        </w:rPr>
      </w:pPr>
      <w:r w:rsidRPr="00B204B8">
        <w:rPr>
          <w:spacing w:val="2"/>
          <w:sz w:val="28"/>
          <w:szCs w:val="28"/>
        </w:rPr>
        <w:t>Закрыта библиотека-филиал № 1 МЦБС г. Елизово на основании постановления администрации Елизовского муниципального района № 1525 от 11.12.2013 в связи с аварийным состоянием помещения.</w:t>
      </w:r>
    </w:p>
    <w:p w:rsidR="008E7C4B" w:rsidRPr="00B204B8" w:rsidRDefault="008E7C4B" w:rsidP="008E7C4B">
      <w:pPr>
        <w:shd w:val="clear" w:color="auto" w:fill="FFFFFF"/>
        <w:tabs>
          <w:tab w:val="left" w:pos="1605"/>
        </w:tabs>
        <w:ind w:left="108" w:right="57" w:firstLine="510"/>
        <w:jc w:val="both"/>
        <w:rPr>
          <w:spacing w:val="2"/>
          <w:sz w:val="28"/>
          <w:szCs w:val="28"/>
        </w:rPr>
      </w:pPr>
      <w:r w:rsidRPr="00B204B8">
        <w:rPr>
          <w:spacing w:val="2"/>
          <w:sz w:val="28"/>
          <w:szCs w:val="28"/>
        </w:rPr>
        <w:t xml:space="preserve"> В результате процесса оптимизации сети библиотек МБУК «ЦГБ» г. Петропавловска-Камчатского согласно приказу директора № 4-а от 20.01.2014 объединены филиалы № 19 и № 8.</w:t>
      </w:r>
    </w:p>
    <w:p w:rsidR="008E7C4B" w:rsidRPr="00B204B8" w:rsidRDefault="008E7C4B" w:rsidP="00F61A74">
      <w:pPr>
        <w:ind w:firstLine="708"/>
        <w:jc w:val="both"/>
        <w:rPr>
          <w:sz w:val="28"/>
          <w:szCs w:val="28"/>
        </w:rPr>
      </w:pPr>
      <w:r w:rsidRPr="00B204B8">
        <w:rPr>
          <w:sz w:val="28"/>
          <w:szCs w:val="28"/>
        </w:rPr>
        <w:t>Вместе с тем, число зарегистрированных пользователей в 2014 году по сравнению с 2013 годом увеличилось на 2,2 тыс. человек.</w:t>
      </w:r>
    </w:p>
    <w:p w:rsidR="00C6785D" w:rsidRPr="00B204B8" w:rsidRDefault="00C6785D" w:rsidP="00F61A74">
      <w:pPr>
        <w:ind w:firstLine="708"/>
        <w:jc w:val="both"/>
        <w:rPr>
          <w:sz w:val="28"/>
          <w:szCs w:val="28"/>
        </w:rPr>
      </w:pPr>
      <w:r w:rsidRPr="00B204B8">
        <w:rPr>
          <w:sz w:val="28"/>
          <w:szCs w:val="28"/>
        </w:rPr>
        <w:t>Большое внимание в работе библиотек уделяется патриотическому и правовому воспитанию. Проводятся книжные тематические выставки, беседы, обзорные мероприятия и встречи.</w:t>
      </w:r>
    </w:p>
    <w:p w:rsidR="00457ACB" w:rsidRPr="00B204B8" w:rsidRDefault="00457ACB" w:rsidP="00457ACB">
      <w:pPr>
        <w:widowControl w:val="0"/>
        <w:ind w:firstLine="709"/>
        <w:jc w:val="both"/>
        <w:rPr>
          <w:sz w:val="28"/>
          <w:szCs w:val="28"/>
        </w:rPr>
      </w:pPr>
      <w:r w:rsidRPr="00B204B8">
        <w:rPr>
          <w:sz w:val="28"/>
          <w:szCs w:val="28"/>
        </w:rPr>
        <w:t>Театральную деятельность на Камчатке осуществляют 2 профессиональных театра: Камчатский театр драмы и комедии и Камчатский театр кукол. Оба профессиональных театра расположены в краевом центре.</w:t>
      </w:r>
    </w:p>
    <w:p w:rsidR="00F61A74" w:rsidRPr="00B204B8" w:rsidRDefault="00F61A74" w:rsidP="00F61A74">
      <w:pPr>
        <w:widowControl w:val="0"/>
        <w:ind w:firstLine="709"/>
        <w:jc w:val="both"/>
        <w:rPr>
          <w:sz w:val="28"/>
          <w:szCs w:val="28"/>
        </w:rPr>
      </w:pPr>
      <w:r w:rsidRPr="00B204B8">
        <w:rPr>
          <w:sz w:val="28"/>
          <w:szCs w:val="28"/>
        </w:rPr>
        <w:t>Учреждения клубного типа</w:t>
      </w:r>
      <w:r w:rsidR="007F713A">
        <w:rPr>
          <w:sz w:val="28"/>
          <w:szCs w:val="28"/>
        </w:rPr>
        <w:t xml:space="preserve"> </w:t>
      </w:r>
      <w:r w:rsidRPr="00B204B8">
        <w:rPr>
          <w:sz w:val="28"/>
          <w:szCs w:val="28"/>
        </w:rPr>
        <w:t xml:space="preserve">располагают наиболее массовыми видами досуга среди других учреждений культуры. На конец 2014 года в крае насчитывалось 80 клубов (100 % по отношению к 2013 году). </w:t>
      </w:r>
    </w:p>
    <w:p w:rsidR="00C6785D" w:rsidRPr="00B204B8" w:rsidRDefault="00C6785D" w:rsidP="00F61A74">
      <w:pPr>
        <w:widowControl w:val="0"/>
        <w:ind w:firstLine="709"/>
        <w:jc w:val="both"/>
        <w:rPr>
          <w:sz w:val="28"/>
          <w:szCs w:val="28"/>
        </w:rPr>
      </w:pPr>
      <w:r w:rsidRPr="00B204B8">
        <w:rPr>
          <w:sz w:val="28"/>
          <w:szCs w:val="28"/>
        </w:rPr>
        <w:t>Одним из направлений работы клубов является профилактика безнадзорности и вредных привычек, пропаганда здорового образа жизни и организация досуга детей.</w:t>
      </w:r>
    </w:p>
    <w:p w:rsidR="00B74EE8" w:rsidRPr="00B204B8" w:rsidRDefault="006E4206" w:rsidP="00F61A74">
      <w:pPr>
        <w:widowControl w:val="0"/>
        <w:ind w:firstLine="709"/>
        <w:jc w:val="both"/>
        <w:rPr>
          <w:sz w:val="28"/>
          <w:szCs w:val="28"/>
        </w:rPr>
      </w:pPr>
      <w:r w:rsidRPr="00B204B8">
        <w:rPr>
          <w:sz w:val="28"/>
          <w:szCs w:val="28"/>
        </w:rPr>
        <w:t>Участие населения в культурно-досуговых мероприятиях способствует самовыражению и развитию личности независимо от места и характера работы, а также служит важным средством социально-психологической адаптации человека в обществе.</w:t>
      </w:r>
    </w:p>
    <w:p w:rsidR="006E4206" w:rsidRPr="00B204B8" w:rsidRDefault="006E4206" w:rsidP="00F61A74">
      <w:pPr>
        <w:widowControl w:val="0"/>
        <w:ind w:firstLine="709"/>
        <w:jc w:val="both"/>
        <w:rPr>
          <w:sz w:val="28"/>
          <w:szCs w:val="28"/>
        </w:rPr>
      </w:pPr>
      <w:r w:rsidRPr="00B204B8">
        <w:rPr>
          <w:sz w:val="28"/>
          <w:szCs w:val="28"/>
        </w:rPr>
        <w:t>Силами учреждений культуры муниципальных образований региона в 2014 году проводились разнообразные фестивали, концерты, праздники, тем самым сохраняя культуру народов Камчатки, популяризируя их, привлекая внимание жителей к проблеме изучения обычаев, сохранения традиций и языка своего народа.</w:t>
      </w:r>
    </w:p>
    <w:p w:rsidR="00EE35D6" w:rsidRPr="00B204B8" w:rsidRDefault="00EE35D6" w:rsidP="00F61A74">
      <w:pPr>
        <w:widowControl w:val="0"/>
        <w:ind w:firstLine="709"/>
        <w:jc w:val="both"/>
        <w:rPr>
          <w:sz w:val="28"/>
          <w:szCs w:val="28"/>
        </w:rPr>
      </w:pPr>
      <w:r w:rsidRPr="00B204B8">
        <w:rPr>
          <w:sz w:val="28"/>
          <w:szCs w:val="28"/>
        </w:rPr>
        <w:t>Для</w:t>
      </w:r>
      <w:r w:rsidR="007C4CFF" w:rsidRPr="00B204B8">
        <w:rPr>
          <w:sz w:val="28"/>
          <w:szCs w:val="28"/>
        </w:rPr>
        <w:t xml:space="preserve"> </w:t>
      </w:r>
      <w:r w:rsidRPr="00B204B8">
        <w:rPr>
          <w:sz w:val="28"/>
          <w:szCs w:val="28"/>
        </w:rPr>
        <w:t>улучшения культурного обслуживания администрациями городских округов и муниципальных районов</w:t>
      </w:r>
      <w:r w:rsidR="007C4CFF" w:rsidRPr="00B204B8">
        <w:rPr>
          <w:sz w:val="28"/>
          <w:szCs w:val="28"/>
        </w:rPr>
        <w:t xml:space="preserve"> в Камчатском крае</w:t>
      </w:r>
      <w:r w:rsidRPr="00B204B8">
        <w:rPr>
          <w:sz w:val="28"/>
          <w:szCs w:val="28"/>
        </w:rPr>
        <w:t xml:space="preserve"> разработаны и действуют муниципальные целевые программы, которые охватывают все основные направления районной политики в сфере культуры и являются логичным продолжением мероприятий, проводимых в рамках долгосрочных государственных программ. </w:t>
      </w:r>
    </w:p>
    <w:p w:rsidR="003179DA" w:rsidRPr="00B204B8" w:rsidRDefault="003179DA" w:rsidP="00F61A74">
      <w:pPr>
        <w:widowControl w:val="0"/>
        <w:ind w:firstLine="709"/>
        <w:jc w:val="both"/>
        <w:rPr>
          <w:sz w:val="28"/>
          <w:szCs w:val="28"/>
        </w:rPr>
      </w:pPr>
      <w:r w:rsidRPr="00B204B8">
        <w:rPr>
          <w:sz w:val="28"/>
          <w:szCs w:val="28"/>
        </w:rPr>
        <w:lastRenderedPageBreak/>
        <w:t>В целях развития сферы культуры необходимо обновление и пополнение библиотечных фондов, укрепление материально-технической базы учреждений, приобретение компьютерного оборудования, привлечение квалифицированных специалистов.</w:t>
      </w:r>
    </w:p>
    <w:p w:rsidR="00BD41EB" w:rsidRPr="00B204B8" w:rsidRDefault="00BD41EB" w:rsidP="00BD41EB">
      <w:pPr>
        <w:widowControl w:val="0"/>
        <w:ind w:firstLine="709"/>
        <w:jc w:val="both"/>
        <w:rPr>
          <w:sz w:val="28"/>
          <w:szCs w:val="28"/>
        </w:rPr>
      </w:pPr>
      <w:r w:rsidRPr="00B204B8">
        <w:rPr>
          <w:sz w:val="28"/>
          <w:szCs w:val="28"/>
        </w:rPr>
        <w:t>В результате проведенной оценки эффективности деятельности органов местного самоуправления сводные индексы показателей</w:t>
      </w:r>
      <w:r w:rsidR="006064C3" w:rsidRPr="00B204B8">
        <w:rPr>
          <w:sz w:val="28"/>
          <w:szCs w:val="28"/>
        </w:rPr>
        <w:t>,</w:t>
      </w:r>
      <w:r w:rsidRPr="00B204B8">
        <w:rPr>
          <w:sz w:val="28"/>
          <w:szCs w:val="28"/>
        </w:rPr>
        <w:t xml:space="preserve"> отражающих обеспеченность городских округов и муниципальных районов учреждениями культуры</w:t>
      </w:r>
      <w:r w:rsidR="006064C3" w:rsidRPr="00B204B8">
        <w:rPr>
          <w:sz w:val="28"/>
          <w:szCs w:val="28"/>
        </w:rPr>
        <w:t>,</w:t>
      </w:r>
      <w:r w:rsidR="00124249" w:rsidRPr="00B204B8">
        <w:rPr>
          <w:sz w:val="28"/>
          <w:szCs w:val="28"/>
        </w:rPr>
        <w:t xml:space="preserve"> </w:t>
      </w:r>
      <w:r w:rsidRPr="00B204B8">
        <w:rPr>
          <w:sz w:val="28"/>
          <w:szCs w:val="28"/>
        </w:rPr>
        <w:t>сложились в следующем порядке (рисунок 1</w:t>
      </w:r>
      <w:r w:rsidR="00DE7079" w:rsidRPr="00B204B8">
        <w:rPr>
          <w:sz w:val="28"/>
          <w:szCs w:val="28"/>
        </w:rPr>
        <w:t>2</w:t>
      </w:r>
      <w:r w:rsidRPr="00B204B8">
        <w:rPr>
          <w:sz w:val="28"/>
          <w:szCs w:val="28"/>
        </w:rPr>
        <w:t>,1</w:t>
      </w:r>
      <w:r w:rsidR="00DE7079" w:rsidRPr="00B204B8">
        <w:rPr>
          <w:sz w:val="28"/>
          <w:szCs w:val="28"/>
        </w:rPr>
        <w:t>3</w:t>
      </w:r>
      <w:r w:rsidRPr="00B204B8">
        <w:rPr>
          <w:sz w:val="28"/>
          <w:szCs w:val="28"/>
        </w:rPr>
        <w:t>)</w:t>
      </w:r>
      <w:r w:rsidR="009D4C77" w:rsidRPr="00B204B8">
        <w:rPr>
          <w:sz w:val="28"/>
          <w:szCs w:val="28"/>
        </w:rPr>
        <w:t>.</w:t>
      </w:r>
    </w:p>
    <w:p w:rsidR="00DE7079" w:rsidRPr="00B204B8" w:rsidRDefault="005565F5" w:rsidP="00DE7079">
      <w:pPr>
        <w:widowControl w:val="0"/>
        <w:ind w:firstLine="709"/>
        <w:jc w:val="both"/>
        <w:rPr>
          <w:sz w:val="28"/>
          <w:szCs w:val="28"/>
        </w:rPr>
      </w:pPr>
      <w:r w:rsidRPr="00B204B8">
        <w:rPr>
          <w:sz w:val="28"/>
          <w:szCs w:val="28"/>
        </w:rPr>
        <w:t xml:space="preserve">  </w:t>
      </w:r>
      <w:r w:rsidR="00DE7079" w:rsidRPr="00B204B8">
        <w:rPr>
          <w:sz w:val="28"/>
          <w:szCs w:val="28"/>
        </w:rPr>
        <w:t>Муниципальные районы:</w:t>
      </w:r>
    </w:p>
    <w:p w:rsidR="00DE7079" w:rsidRPr="00B204B8" w:rsidRDefault="00DE7079" w:rsidP="00DE7079">
      <w:pPr>
        <w:widowControl w:val="0"/>
        <w:ind w:firstLine="851"/>
        <w:jc w:val="both"/>
        <w:rPr>
          <w:sz w:val="28"/>
          <w:szCs w:val="28"/>
        </w:rPr>
      </w:pPr>
      <w:r w:rsidRPr="00B204B8">
        <w:rPr>
          <w:sz w:val="28"/>
          <w:szCs w:val="28"/>
        </w:rPr>
        <w:t xml:space="preserve">1) </w:t>
      </w:r>
      <w:r w:rsidR="00180FD1" w:rsidRPr="00B204B8">
        <w:rPr>
          <w:sz w:val="28"/>
          <w:szCs w:val="28"/>
        </w:rPr>
        <w:t>Олюторский</w:t>
      </w:r>
    </w:p>
    <w:p w:rsidR="00180FD1" w:rsidRPr="00B204B8" w:rsidRDefault="00DE7079" w:rsidP="00180FD1">
      <w:pPr>
        <w:widowControl w:val="0"/>
        <w:ind w:firstLine="851"/>
        <w:jc w:val="both"/>
        <w:rPr>
          <w:sz w:val="28"/>
          <w:szCs w:val="28"/>
        </w:rPr>
      </w:pPr>
      <w:r w:rsidRPr="00B204B8">
        <w:rPr>
          <w:sz w:val="28"/>
          <w:szCs w:val="28"/>
        </w:rPr>
        <w:t>2)</w:t>
      </w:r>
      <w:r w:rsidR="00180FD1" w:rsidRPr="00B204B8">
        <w:rPr>
          <w:sz w:val="28"/>
          <w:szCs w:val="28"/>
        </w:rPr>
        <w:t xml:space="preserve"> Алеутский, Соболевский, Быстринский, Мильковский, Усть-Камчатский,  Карагинский, Пенжинский, Тигильский </w:t>
      </w:r>
    </w:p>
    <w:p w:rsidR="00DE7079" w:rsidRPr="00B204B8" w:rsidRDefault="005565F5" w:rsidP="00DE7079">
      <w:pPr>
        <w:widowControl w:val="0"/>
        <w:ind w:firstLine="709"/>
        <w:jc w:val="both"/>
        <w:rPr>
          <w:sz w:val="28"/>
          <w:szCs w:val="28"/>
        </w:rPr>
      </w:pPr>
      <w:r w:rsidRPr="00B204B8">
        <w:rPr>
          <w:sz w:val="28"/>
          <w:szCs w:val="28"/>
        </w:rPr>
        <w:t xml:space="preserve">  </w:t>
      </w:r>
      <w:r w:rsidR="00DE7079" w:rsidRPr="00B204B8">
        <w:rPr>
          <w:sz w:val="28"/>
          <w:szCs w:val="28"/>
        </w:rPr>
        <w:t>Городской округ</w:t>
      </w:r>
    </w:p>
    <w:p w:rsidR="00DE7079" w:rsidRPr="00B204B8" w:rsidRDefault="00492D12" w:rsidP="00492D12">
      <w:pPr>
        <w:pStyle w:val="a3"/>
        <w:widowControl w:val="0"/>
        <w:numPr>
          <w:ilvl w:val="0"/>
          <w:numId w:val="11"/>
        </w:numPr>
        <w:jc w:val="both"/>
        <w:rPr>
          <w:rFonts w:ascii="Times New Roman" w:eastAsia="SimSun" w:hAnsi="Times New Roman"/>
          <w:sz w:val="28"/>
          <w:szCs w:val="28"/>
          <w:lang w:eastAsia="zh-CN"/>
        </w:rPr>
      </w:pPr>
      <w:r w:rsidRPr="00B204B8">
        <w:rPr>
          <w:rFonts w:ascii="Times New Roman" w:eastAsia="SimSun" w:hAnsi="Times New Roman"/>
          <w:sz w:val="28"/>
          <w:szCs w:val="28"/>
          <w:lang w:eastAsia="zh-CN"/>
        </w:rPr>
        <w:t>п.</w:t>
      </w:r>
      <w:r w:rsidR="00DE7079" w:rsidRPr="00B204B8">
        <w:rPr>
          <w:rFonts w:ascii="Times New Roman" w:eastAsia="SimSun" w:hAnsi="Times New Roman"/>
          <w:sz w:val="28"/>
          <w:szCs w:val="28"/>
          <w:lang w:eastAsia="zh-CN"/>
        </w:rPr>
        <w:t xml:space="preserve"> Палана</w:t>
      </w:r>
    </w:p>
    <w:p w:rsidR="0079773F" w:rsidRPr="00B204B8" w:rsidRDefault="00342999" w:rsidP="00233AEC">
      <w:pPr>
        <w:tabs>
          <w:tab w:val="num" w:pos="720"/>
        </w:tabs>
        <w:ind w:firstLine="709"/>
        <w:jc w:val="right"/>
        <w:rPr>
          <w:rFonts w:ascii="TimesNewRomanPSMT" w:hAnsi="TimesNewRomanPSMT" w:hint="eastAsia"/>
          <w:b/>
          <w:sz w:val="28"/>
          <w:szCs w:val="28"/>
        </w:rPr>
      </w:pPr>
      <w:r w:rsidRPr="00B204B8">
        <w:rPr>
          <w:noProof/>
          <w:lang w:eastAsia="ru-RU"/>
        </w:rPr>
        <w:t xml:space="preserve"> </w:t>
      </w:r>
      <w:r w:rsidRPr="00B204B8">
        <w:rPr>
          <w:noProof/>
          <w:lang w:eastAsia="ru-RU"/>
        </w:rPr>
        <w:drawing>
          <wp:inline distT="0" distB="0" distL="0" distR="0" wp14:anchorId="2EE58423" wp14:editId="360AFB52">
            <wp:extent cx="5987333" cy="5025224"/>
            <wp:effectExtent l="0" t="0" r="13970" b="23495"/>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79773F" w:rsidRPr="0030466A" w:rsidRDefault="0030466A" w:rsidP="0030466A">
      <w:pPr>
        <w:tabs>
          <w:tab w:val="num" w:pos="720"/>
        </w:tabs>
        <w:ind w:firstLine="709"/>
        <w:jc w:val="center"/>
        <w:rPr>
          <w:rFonts w:ascii="TimesNewRomanPSMT" w:hAnsi="TimesNewRomanPSMT" w:hint="eastAsia"/>
          <w:sz w:val="28"/>
          <w:szCs w:val="28"/>
        </w:rPr>
      </w:pPr>
      <w:r w:rsidRPr="0030466A">
        <w:rPr>
          <w:rFonts w:ascii="TimesNewRomanPSMT" w:hAnsi="TimesNewRomanPSMT"/>
          <w:sz w:val="28"/>
          <w:szCs w:val="28"/>
        </w:rPr>
        <w:t>Рисунок 12</w:t>
      </w:r>
    </w:p>
    <w:p w:rsidR="009F24E4" w:rsidRPr="00B204B8" w:rsidRDefault="00094E1E" w:rsidP="003B1103">
      <w:pPr>
        <w:tabs>
          <w:tab w:val="num" w:pos="720"/>
        </w:tabs>
        <w:ind w:firstLine="709"/>
        <w:jc w:val="right"/>
        <w:rPr>
          <w:noProof/>
          <w:lang w:eastAsia="ru-RU"/>
        </w:rPr>
      </w:pPr>
      <w:r w:rsidRPr="00B204B8">
        <w:rPr>
          <w:noProof/>
          <w:lang w:eastAsia="ru-RU"/>
        </w:rPr>
        <w:lastRenderedPageBreak/>
        <w:t xml:space="preserve"> </w:t>
      </w:r>
      <w:r w:rsidRPr="00B204B8">
        <w:rPr>
          <w:noProof/>
          <w:sz w:val="22"/>
          <w:szCs w:val="22"/>
          <w:lang w:eastAsia="ru-RU"/>
        </w:rPr>
        <w:drawing>
          <wp:inline distT="0" distB="0" distL="0" distR="0" wp14:anchorId="46A2AABE" wp14:editId="697D043A">
            <wp:extent cx="5940425" cy="3879148"/>
            <wp:effectExtent l="0" t="0" r="22225" b="26670"/>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094E1E" w:rsidRDefault="0030466A" w:rsidP="0030466A">
      <w:pPr>
        <w:tabs>
          <w:tab w:val="num" w:pos="720"/>
        </w:tabs>
        <w:ind w:firstLine="709"/>
        <w:jc w:val="center"/>
        <w:rPr>
          <w:sz w:val="28"/>
          <w:szCs w:val="28"/>
        </w:rPr>
      </w:pPr>
      <w:r w:rsidRPr="0030466A">
        <w:rPr>
          <w:sz w:val="28"/>
          <w:szCs w:val="28"/>
        </w:rPr>
        <w:t>Рисунок 13</w:t>
      </w:r>
    </w:p>
    <w:p w:rsidR="0030466A" w:rsidRPr="0030466A" w:rsidRDefault="0030466A" w:rsidP="0030466A">
      <w:pPr>
        <w:tabs>
          <w:tab w:val="num" w:pos="720"/>
        </w:tabs>
        <w:ind w:firstLine="709"/>
        <w:jc w:val="center"/>
        <w:rPr>
          <w:sz w:val="28"/>
          <w:szCs w:val="28"/>
        </w:rPr>
      </w:pPr>
    </w:p>
    <w:p w:rsidR="00BD41EB" w:rsidRPr="00B204B8" w:rsidRDefault="00BD41EB" w:rsidP="00FE3974">
      <w:pPr>
        <w:widowControl w:val="0"/>
        <w:ind w:firstLine="709"/>
        <w:jc w:val="both"/>
        <w:rPr>
          <w:sz w:val="28"/>
          <w:szCs w:val="28"/>
        </w:rPr>
      </w:pPr>
      <w:r w:rsidRPr="00B204B8">
        <w:rPr>
          <w:sz w:val="28"/>
          <w:szCs w:val="28"/>
        </w:rPr>
        <w:t>При оценке показателя</w:t>
      </w:r>
      <w:r w:rsidR="006064C3" w:rsidRPr="00B204B8">
        <w:rPr>
          <w:sz w:val="28"/>
          <w:szCs w:val="28"/>
        </w:rPr>
        <w:t>,</w:t>
      </w:r>
      <w:r w:rsidRPr="00B204B8">
        <w:rPr>
          <w:sz w:val="28"/>
          <w:szCs w:val="28"/>
        </w:rPr>
        <w:t xml:space="preserve"> отражающего состояние муниципальных учреждений культуры «Доля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w:t>
      </w:r>
      <w:r w:rsidR="006064C3" w:rsidRPr="00B204B8">
        <w:rPr>
          <w:sz w:val="28"/>
          <w:szCs w:val="28"/>
        </w:rPr>
        <w:t>,</w:t>
      </w:r>
      <w:r w:rsidRPr="00B204B8">
        <w:rPr>
          <w:sz w:val="28"/>
          <w:szCs w:val="28"/>
        </w:rPr>
        <w:t xml:space="preserve"> наивысшие результаты получили:</w:t>
      </w:r>
    </w:p>
    <w:p w:rsidR="00DA1986" w:rsidRPr="00B204B8" w:rsidRDefault="00994986" w:rsidP="00DA1986">
      <w:pPr>
        <w:widowControl w:val="0"/>
        <w:ind w:firstLine="709"/>
        <w:jc w:val="both"/>
        <w:rPr>
          <w:sz w:val="28"/>
          <w:szCs w:val="28"/>
        </w:rPr>
      </w:pPr>
      <w:r w:rsidRPr="00B204B8">
        <w:rPr>
          <w:sz w:val="28"/>
          <w:szCs w:val="28"/>
        </w:rPr>
        <w:t xml:space="preserve">  </w:t>
      </w:r>
      <w:r w:rsidR="00DA1986" w:rsidRPr="00B204B8">
        <w:rPr>
          <w:sz w:val="28"/>
          <w:szCs w:val="28"/>
        </w:rPr>
        <w:t>Муниципальные районы</w:t>
      </w:r>
    </w:p>
    <w:p w:rsidR="00DA1986" w:rsidRPr="00B204B8" w:rsidRDefault="00DA1986" w:rsidP="00DA1986">
      <w:pPr>
        <w:widowControl w:val="0"/>
        <w:ind w:firstLine="851"/>
        <w:jc w:val="both"/>
        <w:rPr>
          <w:sz w:val="28"/>
          <w:szCs w:val="28"/>
        </w:rPr>
      </w:pPr>
      <w:r w:rsidRPr="00B204B8">
        <w:rPr>
          <w:sz w:val="28"/>
          <w:szCs w:val="28"/>
        </w:rPr>
        <w:t>1) Соболевский</w:t>
      </w:r>
    </w:p>
    <w:p w:rsidR="00DA1986" w:rsidRPr="00B204B8" w:rsidRDefault="00DA1986" w:rsidP="00DA1986">
      <w:pPr>
        <w:widowControl w:val="0"/>
        <w:ind w:firstLine="851"/>
        <w:jc w:val="both"/>
        <w:rPr>
          <w:sz w:val="28"/>
          <w:szCs w:val="28"/>
        </w:rPr>
      </w:pPr>
      <w:r w:rsidRPr="00B204B8">
        <w:rPr>
          <w:sz w:val="28"/>
          <w:szCs w:val="28"/>
        </w:rPr>
        <w:t xml:space="preserve">2) Усть - Камчатский </w:t>
      </w:r>
    </w:p>
    <w:p w:rsidR="00DA1986" w:rsidRPr="00B204B8" w:rsidRDefault="00DA1986" w:rsidP="00DA1986">
      <w:pPr>
        <w:widowControl w:val="0"/>
        <w:ind w:firstLine="851"/>
        <w:jc w:val="both"/>
        <w:rPr>
          <w:sz w:val="28"/>
          <w:szCs w:val="28"/>
        </w:rPr>
      </w:pPr>
      <w:r w:rsidRPr="00B204B8">
        <w:rPr>
          <w:sz w:val="28"/>
          <w:szCs w:val="28"/>
        </w:rPr>
        <w:t xml:space="preserve">3) </w:t>
      </w:r>
      <w:r w:rsidR="009D3EE0" w:rsidRPr="00B204B8">
        <w:rPr>
          <w:sz w:val="28"/>
          <w:szCs w:val="28"/>
        </w:rPr>
        <w:t>Алеутский</w:t>
      </w:r>
    </w:p>
    <w:p w:rsidR="00DA1986" w:rsidRPr="00B204B8" w:rsidRDefault="00994986" w:rsidP="00DA1986">
      <w:pPr>
        <w:widowControl w:val="0"/>
        <w:ind w:firstLine="709"/>
        <w:jc w:val="both"/>
        <w:rPr>
          <w:sz w:val="28"/>
          <w:szCs w:val="28"/>
        </w:rPr>
      </w:pPr>
      <w:r w:rsidRPr="00B204B8">
        <w:rPr>
          <w:sz w:val="28"/>
          <w:szCs w:val="28"/>
        </w:rPr>
        <w:t xml:space="preserve">  </w:t>
      </w:r>
      <w:r w:rsidR="00DA1986" w:rsidRPr="00B204B8">
        <w:rPr>
          <w:sz w:val="28"/>
          <w:szCs w:val="28"/>
        </w:rPr>
        <w:t xml:space="preserve">Городские округа Вилючинский и </w:t>
      </w:r>
      <w:r w:rsidRPr="00B204B8">
        <w:rPr>
          <w:sz w:val="28"/>
          <w:szCs w:val="28"/>
        </w:rPr>
        <w:t>п</w:t>
      </w:r>
      <w:r w:rsidR="00DA1986" w:rsidRPr="00B204B8">
        <w:rPr>
          <w:sz w:val="28"/>
          <w:szCs w:val="28"/>
        </w:rPr>
        <w:t>.</w:t>
      </w:r>
      <w:r w:rsidRPr="00B204B8">
        <w:rPr>
          <w:sz w:val="28"/>
          <w:szCs w:val="28"/>
        </w:rPr>
        <w:t xml:space="preserve"> </w:t>
      </w:r>
      <w:r w:rsidR="00DA1986" w:rsidRPr="00B204B8">
        <w:rPr>
          <w:sz w:val="28"/>
          <w:szCs w:val="28"/>
        </w:rPr>
        <w:t>Палана получили одинаковую оценку.</w:t>
      </w:r>
    </w:p>
    <w:p w:rsidR="00BD41EB" w:rsidRPr="00B204B8" w:rsidRDefault="00BD41EB" w:rsidP="00BD41EB">
      <w:pPr>
        <w:tabs>
          <w:tab w:val="num" w:pos="720"/>
        </w:tabs>
        <w:rPr>
          <w:rFonts w:ascii="TimesNewRomanPSMT" w:hAnsi="TimesNewRomanPSMT" w:hint="eastAsia"/>
          <w:b/>
          <w:sz w:val="28"/>
          <w:szCs w:val="28"/>
        </w:rPr>
      </w:pPr>
    </w:p>
    <w:p w:rsidR="004546FC" w:rsidRPr="00B204B8" w:rsidRDefault="004546FC" w:rsidP="00BD41EB">
      <w:pPr>
        <w:tabs>
          <w:tab w:val="num" w:pos="720"/>
        </w:tabs>
        <w:ind w:firstLine="709"/>
        <w:jc w:val="center"/>
        <w:rPr>
          <w:b/>
          <w:sz w:val="28"/>
          <w:szCs w:val="28"/>
        </w:rPr>
      </w:pPr>
    </w:p>
    <w:p w:rsidR="00BD41EB" w:rsidRPr="00B204B8" w:rsidRDefault="00BD41EB" w:rsidP="00BD41EB">
      <w:pPr>
        <w:tabs>
          <w:tab w:val="num" w:pos="720"/>
        </w:tabs>
        <w:ind w:firstLine="709"/>
        <w:jc w:val="center"/>
        <w:rPr>
          <w:b/>
          <w:sz w:val="28"/>
          <w:szCs w:val="28"/>
        </w:rPr>
      </w:pPr>
      <w:r w:rsidRPr="00B204B8">
        <w:rPr>
          <w:b/>
          <w:sz w:val="28"/>
          <w:szCs w:val="28"/>
        </w:rPr>
        <w:t>5. Физическая культура и спорт</w:t>
      </w:r>
    </w:p>
    <w:p w:rsidR="00ED1DDD" w:rsidRPr="00B204B8" w:rsidRDefault="00ED1DDD" w:rsidP="00BD41EB">
      <w:pPr>
        <w:tabs>
          <w:tab w:val="num" w:pos="720"/>
        </w:tabs>
        <w:ind w:firstLine="709"/>
        <w:jc w:val="center"/>
        <w:rPr>
          <w:b/>
          <w:sz w:val="28"/>
          <w:szCs w:val="28"/>
        </w:rPr>
      </w:pPr>
    </w:p>
    <w:p w:rsidR="004630DA" w:rsidRPr="00B204B8" w:rsidRDefault="004630DA"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На территории Камчатского края расположено 700 спортивных сооружений, в их числе: 3 физкультурно-оздоровительных комплекса, один стадион с трибунами на 1500 мест и более, 188 спортивных залов, 287 плоскостных спортивных сооружения, 20 сооружений для стрелкового вида спорта, 7 бассейнов, 6 лыжных баз, 3 биатлонных комплекса и 9 горнолыжных баз.</w:t>
      </w:r>
    </w:p>
    <w:p w:rsidR="004630DA" w:rsidRPr="00B204B8" w:rsidRDefault="004630DA"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lastRenderedPageBreak/>
        <w:t>В 2014 году проведено 163 спортивных и физкультурных мероприятий, в которых приняло участие 61 605 человек.</w:t>
      </w:r>
    </w:p>
    <w:p w:rsidR="004630DA" w:rsidRPr="00B204B8" w:rsidRDefault="004630DA"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Количество жителей</w:t>
      </w:r>
      <w:r w:rsidR="004F43D7">
        <w:rPr>
          <w:rFonts w:ascii="Times New Roman" w:hAnsi="Times New Roman" w:cs="Times New Roman"/>
          <w:sz w:val="28"/>
          <w:szCs w:val="28"/>
        </w:rPr>
        <w:t>,</w:t>
      </w:r>
      <w:r w:rsidRPr="00B204B8">
        <w:rPr>
          <w:rFonts w:ascii="Times New Roman" w:hAnsi="Times New Roman" w:cs="Times New Roman"/>
          <w:sz w:val="28"/>
          <w:szCs w:val="28"/>
        </w:rPr>
        <w:t xml:space="preserve"> систематически занимающихся физической культурой и спортом</w:t>
      </w:r>
      <w:r w:rsidR="004F43D7">
        <w:rPr>
          <w:rFonts w:ascii="Times New Roman" w:hAnsi="Times New Roman" w:cs="Times New Roman"/>
          <w:sz w:val="28"/>
          <w:szCs w:val="28"/>
        </w:rPr>
        <w:t>,</w:t>
      </w:r>
      <w:r w:rsidRPr="00B204B8">
        <w:rPr>
          <w:rFonts w:ascii="Times New Roman" w:hAnsi="Times New Roman" w:cs="Times New Roman"/>
          <w:sz w:val="28"/>
          <w:szCs w:val="28"/>
        </w:rPr>
        <w:t xml:space="preserve"> в Камчатском крае в 2014 году составило 71 871 человек (или 22,4 % от численности населения), что на 12 855 человек больше чем в 2013 году.</w:t>
      </w:r>
    </w:p>
    <w:p w:rsidR="006D0065" w:rsidRPr="00B204B8" w:rsidRDefault="006D0065" w:rsidP="006D0065">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Продолжилась физкультурно-оздоровительная работа с инвалидами. Доля лиц с ограниченными возможностями здоровья и инвалидов, систематически занимающихся физической культурой и спортом, в общей численности этой категории инвалидов в Камчатском крае составляет 3,1 % (2013 год - 2,9 %).</w:t>
      </w:r>
    </w:p>
    <w:p w:rsidR="006D0065" w:rsidRPr="00B204B8" w:rsidRDefault="006D0065" w:rsidP="006D0065">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Количество спортивных сооружений в 2014 году стало больше на 11 единиц, в связи с введением в эксплуатацию 10 плоскостных сооружений и 1 спортивного зала в Вилючинском городском округе, Быстринском муниципальном районе и Петропавловск-Камчатском городском округе.</w:t>
      </w:r>
    </w:p>
    <w:p w:rsidR="005A629B" w:rsidRPr="00B204B8" w:rsidRDefault="005A629B"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 xml:space="preserve">Администрации городских округов и муниципальных районов </w:t>
      </w:r>
      <w:r w:rsidR="00587714" w:rsidRPr="00B204B8">
        <w:rPr>
          <w:rFonts w:ascii="Times New Roman" w:hAnsi="Times New Roman" w:cs="Times New Roman"/>
          <w:sz w:val="28"/>
          <w:szCs w:val="28"/>
        </w:rPr>
        <w:t>края</w:t>
      </w:r>
      <w:r w:rsidRPr="00B204B8">
        <w:rPr>
          <w:rFonts w:ascii="Times New Roman" w:hAnsi="Times New Roman" w:cs="Times New Roman"/>
          <w:sz w:val="28"/>
          <w:szCs w:val="28"/>
        </w:rPr>
        <w:t xml:space="preserve"> активно работают по направлению </w:t>
      </w:r>
      <w:r w:rsidR="00587714" w:rsidRPr="00B204B8">
        <w:rPr>
          <w:rFonts w:ascii="Times New Roman" w:hAnsi="Times New Roman" w:cs="Times New Roman"/>
          <w:sz w:val="28"/>
          <w:szCs w:val="28"/>
        </w:rPr>
        <w:t>«</w:t>
      </w:r>
      <w:r w:rsidRPr="00B204B8">
        <w:rPr>
          <w:rFonts w:ascii="Times New Roman" w:hAnsi="Times New Roman" w:cs="Times New Roman"/>
          <w:sz w:val="28"/>
          <w:szCs w:val="28"/>
        </w:rPr>
        <w:t>массовый спорт</w:t>
      </w:r>
      <w:r w:rsidR="00587714" w:rsidRPr="00B204B8">
        <w:rPr>
          <w:rFonts w:ascii="Times New Roman" w:hAnsi="Times New Roman" w:cs="Times New Roman"/>
          <w:sz w:val="28"/>
          <w:szCs w:val="28"/>
        </w:rPr>
        <w:t>»</w:t>
      </w:r>
      <w:r w:rsidRPr="00B204B8">
        <w:rPr>
          <w:rFonts w:ascii="Times New Roman" w:hAnsi="Times New Roman" w:cs="Times New Roman"/>
          <w:sz w:val="28"/>
          <w:szCs w:val="28"/>
        </w:rPr>
        <w:t>. Утверждены муниципальные программы, предусматривающие ряд мероприятий, направленных на развитие физкультурно-оздоровительной и спортивно-массовой работы среди детей, подростков, молодежи</w:t>
      </w:r>
      <w:r w:rsidR="00587714" w:rsidRPr="00B204B8">
        <w:rPr>
          <w:rFonts w:ascii="Times New Roman" w:hAnsi="Times New Roman" w:cs="Times New Roman"/>
          <w:sz w:val="28"/>
          <w:szCs w:val="28"/>
        </w:rPr>
        <w:t xml:space="preserve"> и взрослого населения, обеспечение возможностей занятий физической культурой и спортом, укрепление материально-технической базы для занятий массовым спортом. В 2014 году активно велась пропаганда в средствах массовой информации по привлечению населения к систематическим занятиям физической культурой и спортом.</w:t>
      </w:r>
    </w:p>
    <w:p w:rsidR="00787F0F" w:rsidRPr="00B204B8" w:rsidRDefault="00787F0F"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В Петропавловск-Камчатском городском округе особое внимание было уделено привлечению к занятиям физической культуры представителей трудовых коллективов. В мае 2014 года успешно завершена «Спартакиада трудящихся 2013-2014», в сентябре стартовала «Спартакиада 2014-2015».</w:t>
      </w:r>
    </w:p>
    <w:p w:rsidR="00787F0F" w:rsidRPr="00B204B8" w:rsidRDefault="00787F0F"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В течение 2014 года проводились мероприятия по улучшению материально-техничес</w:t>
      </w:r>
      <w:r w:rsidR="00487AE2" w:rsidRPr="00B204B8">
        <w:rPr>
          <w:rFonts w:ascii="Times New Roman" w:hAnsi="Times New Roman" w:cs="Times New Roman"/>
          <w:sz w:val="28"/>
          <w:szCs w:val="28"/>
        </w:rPr>
        <w:t>кой базы:</w:t>
      </w:r>
    </w:p>
    <w:p w:rsidR="00487AE2" w:rsidRPr="00B204B8" w:rsidRDefault="00487AE2"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 в городском округе п</w:t>
      </w:r>
      <w:r w:rsidR="004A4C48">
        <w:rPr>
          <w:rFonts w:ascii="Times New Roman" w:hAnsi="Times New Roman" w:cs="Times New Roman"/>
          <w:sz w:val="28"/>
          <w:szCs w:val="28"/>
        </w:rPr>
        <w:t xml:space="preserve">. </w:t>
      </w:r>
      <w:r w:rsidRPr="00B204B8">
        <w:rPr>
          <w:rFonts w:ascii="Times New Roman" w:hAnsi="Times New Roman" w:cs="Times New Roman"/>
          <w:sz w:val="28"/>
          <w:szCs w:val="28"/>
        </w:rPr>
        <w:t>Палана</w:t>
      </w:r>
      <w:r w:rsidR="004A4C48">
        <w:rPr>
          <w:rFonts w:ascii="Times New Roman" w:hAnsi="Times New Roman" w:cs="Times New Roman"/>
          <w:sz w:val="28"/>
          <w:szCs w:val="28"/>
        </w:rPr>
        <w:t xml:space="preserve"> </w:t>
      </w:r>
      <w:r w:rsidRPr="00B204B8">
        <w:rPr>
          <w:rFonts w:ascii="Times New Roman" w:hAnsi="Times New Roman" w:cs="Times New Roman"/>
          <w:sz w:val="28"/>
          <w:szCs w:val="28"/>
        </w:rPr>
        <w:t>закончился монтаж спортивной многофункциональной площадки и строительство волейбольно-баскетбольной площадки;</w:t>
      </w:r>
    </w:p>
    <w:p w:rsidR="00487AE2" w:rsidRPr="00B204B8" w:rsidRDefault="00487AE2"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 в селе Тигиль Тигильского муниципального района проведены мероприятия по обустройству горнолыжной трассы: установлен подъемник, организовано освещение;</w:t>
      </w:r>
    </w:p>
    <w:p w:rsidR="00487AE2" w:rsidRPr="00B204B8" w:rsidRDefault="00487AE2"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 в Мильковском муниципальном районе завершена реконструкция хоккейного стадиона «Юность». Установлены крытые трибуны, устройство искусственного покрытия с нанесением разметки для игровых видов спорта. Данный объект предназначен для круглогодичного использования;</w:t>
      </w:r>
    </w:p>
    <w:p w:rsidR="00D440B8" w:rsidRPr="00B204B8" w:rsidRDefault="00487AE2"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lastRenderedPageBreak/>
        <w:t xml:space="preserve">- в Петропавловск-Камчатском городском округе </w:t>
      </w:r>
      <w:r w:rsidR="00D440B8" w:rsidRPr="00B204B8">
        <w:rPr>
          <w:rFonts w:ascii="Times New Roman" w:hAnsi="Times New Roman" w:cs="Times New Roman"/>
          <w:sz w:val="28"/>
          <w:szCs w:val="28"/>
        </w:rPr>
        <w:t>произведен ремонт спортивных залов в 2 учреждениях. Модернизированы спортивные площадки в 3 учреждениях, проведен капитальный ремонт спортивной площадки в 1 учреждении, построены новые спортивные площадки в 2 учреждениях.</w:t>
      </w:r>
    </w:p>
    <w:p w:rsidR="00487AE2" w:rsidRPr="00B204B8" w:rsidRDefault="00D440B8" w:rsidP="004630DA">
      <w:pPr>
        <w:pStyle w:val="11"/>
        <w:shd w:val="clear" w:color="auto" w:fill="auto"/>
        <w:spacing w:after="0" w:line="240" w:lineRule="auto"/>
        <w:ind w:left="20" w:right="360" w:firstLine="720"/>
        <w:rPr>
          <w:rFonts w:ascii="Times New Roman" w:hAnsi="Times New Roman" w:cs="Times New Roman"/>
          <w:sz w:val="28"/>
          <w:szCs w:val="28"/>
        </w:rPr>
      </w:pPr>
      <w:r w:rsidRPr="00B204B8">
        <w:rPr>
          <w:rFonts w:ascii="Times New Roman" w:hAnsi="Times New Roman" w:cs="Times New Roman"/>
          <w:sz w:val="28"/>
          <w:szCs w:val="28"/>
        </w:rPr>
        <w:t xml:space="preserve"> </w:t>
      </w:r>
      <w:r w:rsidR="006D0065" w:rsidRPr="00B204B8">
        <w:rPr>
          <w:rFonts w:ascii="Times New Roman" w:hAnsi="Times New Roman" w:cs="Times New Roman"/>
          <w:sz w:val="28"/>
          <w:szCs w:val="28"/>
        </w:rPr>
        <w:t>Следует отметить, что в Олюторском муниципальном районе отсутствуют специализированные учреждения физической культуры и спорта. Вся физкультурно-оздоровительная работа проводится в общеобразовательных учреждениях и учреждении дополнительного образования детей «Олюторский Центр внешкольной работы». Именно «Олюторский Центр внешкольной работы» предоставляет возможность зан</w:t>
      </w:r>
      <w:r w:rsidR="008F6CCC" w:rsidRPr="00B204B8">
        <w:rPr>
          <w:rFonts w:ascii="Times New Roman" w:hAnsi="Times New Roman" w:cs="Times New Roman"/>
          <w:sz w:val="28"/>
          <w:szCs w:val="28"/>
        </w:rPr>
        <w:t>иматься</w:t>
      </w:r>
      <w:r w:rsidR="006D0065" w:rsidRPr="00B204B8">
        <w:rPr>
          <w:rFonts w:ascii="Times New Roman" w:hAnsi="Times New Roman" w:cs="Times New Roman"/>
          <w:sz w:val="28"/>
          <w:szCs w:val="28"/>
        </w:rPr>
        <w:t xml:space="preserve"> спортом</w:t>
      </w:r>
      <w:r w:rsidR="008F6CCC" w:rsidRPr="00B204B8">
        <w:rPr>
          <w:rFonts w:ascii="Times New Roman" w:hAnsi="Times New Roman" w:cs="Times New Roman"/>
          <w:sz w:val="28"/>
          <w:szCs w:val="28"/>
        </w:rPr>
        <w:t xml:space="preserve"> людям, вышедшим из школьного возраста.</w:t>
      </w:r>
      <w:r w:rsidR="006D0065" w:rsidRPr="00B204B8">
        <w:rPr>
          <w:rFonts w:ascii="Times New Roman" w:hAnsi="Times New Roman" w:cs="Times New Roman"/>
          <w:sz w:val="28"/>
          <w:szCs w:val="28"/>
        </w:rPr>
        <w:t xml:space="preserve"> </w:t>
      </w:r>
      <w:r w:rsidR="008F6CCC" w:rsidRPr="00B204B8">
        <w:rPr>
          <w:rFonts w:ascii="Times New Roman" w:hAnsi="Times New Roman" w:cs="Times New Roman"/>
          <w:sz w:val="28"/>
          <w:szCs w:val="28"/>
        </w:rPr>
        <w:t>Другой альтернативы для занятий физической культурой у взрослого населения нет. Вместе с тем в образовательных учреждениях систематически проводятся военно-спортивная игра «Зарница», военизированные эстафеты, соревнования по спортивному ориентированию. Различные спортивные мероприятия, спортивные праздники, проводимые на территории района</w:t>
      </w:r>
      <w:r w:rsidR="00FB315F" w:rsidRPr="00B204B8">
        <w:rPr>
          <w:rFonts w:ascii="Times New Roman" w:hAnsi="Times New Roman" w:cs="Times New Roman"/>
          <w:sz w:val="28"/>
          <w:szCs w:val="28"/>
        </w:rPr>
        <w:t>,</w:t>
      </w:r>
      <w:r w:rsidR="008F6CCC" w:rsidRPr="00B204B8">
        <w:rPr>
          <w:rFonts w:ascii="Times New Roman" w:hAnsi="Times New Roman" w:cs="Times New Roman"/>
          <w:sz w:val="28"/>
          <w:szCs w:val="28"/>
        </w:rPr>
        <w:t xml:space="preserve"> увеличивают </w:t>
      </w:r>
      <w:r w:rsidR="00BA7C5C" w:rsidRPr="00B204B8">
        <w:rPr>
          <w:rFonts w:ascii="Times New Roman" w:hAnsi="Times New Roman" w:cs="Times New Roman"/>
          <w:sz w:val="28"/>
          <w:szCs w:val="28"/>
        </w:rPr>
        <w:t>интерес жителей к спорту и занятиям физической культурой.</w:t>
      </w:r>
    </w:p>
    <w:p w:rsidR="00BD41EB" w:rsidRPr="00B204B8" w:rsidRDefault="00BD41EB" w:rsidP="009D4C77">
      <w:pPr>
        <w:widowControl w:val="0"/>
        <w:ind w:firstLine="709"/>
        <w:jc w:val="both"/>
        <w:rPr>
          <w:sz w:val="28"/>
          <w:szCs w:val="28"/>
        </w:rPr>
      </w:pPr>
      <w:r w:rsidRPr="00B204B8">
        <w:rPr>
          <w:sz w:val="28"/>
          <w:szCs w:val="28"/>
        </w:rPr>
        <w:t>По результатам проведенной оценки</w:t>
      </w:r>
      <w:r w:rsidR="00124249" w:rsidRPr="00B204B8">
        <w:rPr>
          <w:sz w:val="28"/>
          <w:szCs w:val="28"/>
        </w:rPr>
        <w:t xml:space="preserve"> </w:t>
      </w:r>
      <w:r w:rsidRPr="00B204B8">
        <w:rPr>
          <w:sz w:val="28"/>
          <w:szCs w:val="28"/>
        </w:rPr>
        <w:t xml:space="preserve">деятельности органов местного самоуправления по показателю «Доля населения, систематически занимающегося физической культурой и спортом» сводные индексы показателя </w:t>
      </w:r>
      <w:r w:rsidR="00193605" w:rsidRPr="00B204B8">
        <w:rPr>
          <w:sz w:val="28"/>
          <w:szCs w:val="28"/>
        </w:rPr>
        <w:t xml:space="preserve">имеют </w:t>
      </w:r>
      <w:r w:rsidRPr="00B204B8">
        <w:rPr>
          <w:sz w:val="28"/>
          <w:szCs w:val="28"/>
        </w:rPr>
        <w:t>следующие значения (рисунок 1</w:t>
      </w:r>
      <w:r w:rsidR="00DA1986" w:rsidRPr="00B204B8">
        <w:rPr>
          <w:sz w:val="28"/>
          <w:szCs w:val="28"/>
        </w:rPr>
        <w:t>4</w:t>
      </w:r>
      <w:r w:rsidRPr="00B204B8">
        <w:rPr>
          <w:sz w:val="28"/>
          <w:szCs w:val="28"/>
        </w:rPr>
        <w:t>)</w:t>
      </w:r>
      <w:r w:rsidR="00E35F37">
        <w:rPr>
          <w:sz w:val="28"/>
          <w:szCs w:val="28"/>
        </w:rPr>
        <w:t>:</w:t>
      </w:r>
    </w:p>
    <w:p w:rsidR="00BD41EB" w:rsidRPr="00B204B8" w:rsidRDefault="00BD41EB" w:rsidP="007B3B7B">
      <w:pPr>
        <w:widowControl w:val="0"/>
        <w:tabs>
          <w:tab w:val="left" w:pos="851"/>
        </w:tabs>
        <w:ind w:firstLine="709"/>
        <w:jc w:val="right"/>
        <w:rPr>
          <w:rFonts w:ascii="TimesNewRomanPSMT" w:hAnsi="TimesNewRomanPSMT" w:hint="eastAsia"/>
          <w:b/>
          <w:sz w:val="28"/>
          <w:szCs w:val="28"/>
        </w:rPr>
      </w:pP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p>
    <w:p w:rsidR="00625B06" w:rsidRPr="00B204B8" w:rsidRDefault="00AF4B91" w:rsidP="00E0773F">
      <w:pPr>
        <w:jc w:val="both"/>
        <w:rPr>
          <w:sz w:val="28"/>
          <w:szCs w:val="28"/>
        </w:rPr>
      </w:pPr>
      <w:r w:rsidRPr="00B204B8">
        <w:rPr>
          <w:noProof/>
          <w:lang w:eastAsia="ru-RU"/>
        </w:rPr>
        <w:drawing>
          <wp:inline distT="0" distB="0" distL="0" distR="0" wp14:anchorId="6CE1EE0A" wp14:editId="3275D5C4">
            <wp:extent cx="5947576" cy="3649649"/>
            <wp:effectExtent l="0" t="0" r="0" b="0"/>
            <wp:docPr id="49"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0466A" w:rsidRDefault="0030466A" w:rsidP="0030466A">
      <w:pPr>
        <w:widowControl w:val="0"/>
        <w:ind w:firstLine="709"/>
        <w:jc w:val="center"/>
        <w:rPr>
          <w:sz w:val="28"/>
          <w:szCs w:val="28"/>
        </w:rPr>
      </w:pPr>
    </w:p>
    <w:p w:rsidR="00BD41EB" w:rsidRDefault="0030466A" w:rsidP="0030466A">
      <w:pPr>
        <w:widowControl w:val="0"/>
        <w:ind w:firstLine="709"/>
        <w:jc w:val="center"/>
        <w:rPr>
          <w:sz w:val="28"/>
          <w:szCs w:val="28"/>
        </w:rPr>
      </w:pPr>
      <w:r>
        <w:rPr>
          <w:sz w:val="28"/>
          <w:szCs w:val="28"/>
        </w:rPr>
        <w:t>Рисунок 14</w:t>
      </w:r>
    </w:p>
    <w:p w:rsidR="00CD284E" w:rsidRPr="00B204B8" w:rsidRDefault="00CD284E" w:rsidP="00FE3974">
      <w:pPr>
        <w:widowControl w:val="0"/>
        <w:ind w:firstLine="709"/>
        <w:jc w:val="both"/>
        <w:rPr>
          <w:sz w:val="28"/>
          <w:szCs w:val="28"/>
        </w:rPr>
      </w:pPr>
    </w:p>
    <w:p w:rsidR="00BD41EB" w:rsidRPr="00B204B8" w:rsidRDefault="00BD41EB" w:rsidP="00BD41EB">
      <w:pPr>
        <w:tabs>
          <w:tab w:val="num" w:pos="720"/>
        </w:tabs>
        <w:ind w:firstLine="709"/>
        <w:jc w:val="center"/>
        <w:rPr>
          <w:b/>
          <w:sz w:val="28"/>
          <w:szCs w:val="28"/>
        </w:rPr>
      </w:pPr>
      <w:r w:rsidRPr="00B204B8">
        <w:rPr>
          <w:b/>
          <w:sz w:val="28"/>
          <w:szCs w:val="28"/>
        </w:rPr>
        <w:lastRenderedPageBreak/>
        <w:t>6. Жилищное строительство и обеспечение граждан жильем</w:t>
      </w:r>
    </w:p>
    <w:p w:rsidR="00094FB5" w:rsidRPr="00B204B8" w:rsidRDefault="00094FB5" w:rsidP="00094FB5">
      <w:pPr>
        <w:widowControl w:val="0"/>
        <w:ind w:firstLine="709"/>
        <w:jc w:val="both"/>
      </w:pP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Важнейшими элементами социальной политики, оказывающими влияние на демографическую ситуацию и социально-экономическое развитие общества, является удовлетворение потребности населения в жилье и улучшение жилищных условий. Обеспечение граждан России доступным и комфортным жильем является национальным приоритетом.</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По итогам 2014 года объем работ, выполненный по виду деятельности «Строительство», составил 16 004,6 млн рублей против 17 985,5 млн рублей в 2013 году и уменьшился на 11,0 % в сопоставимых ценах.</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Вместе с тем за последние два года в Камчатском крае отмечен рост темпов строительства нового жилья. В 2014 году в Камчатском крае  построено 178 жилых дома, в том числе в г. Петропавловск-Камчатске– 77, </w:t>
      </w:r>
      <w:r w:rsidR="00FD4D47">
        <w:rPr>
          <w:rFonts w:ascii="Times New Roman CYR" w:hAnsi="Times New Roman CYR" w:cs="Times New Roman CYR"/>
          <w:sz w:val="28"/>
          <w:szCs w:val="28"/>
        </w:rPr>
        <w:br/>
      </w:r>
      <w:r w:rsidRPr="00B204B8">
        <w:rPr>
          <w:rFonts w:ascii="Times New Roman CYR" w:hAnsi="Times New Roman CYR" w:cs="Times New Roman CYR"/>
          <w:sz w:val="28"/>
          <w:szCs w:val="28"/>
        </w:rPr>
        <w:t>в Елизовском</w:t>
      </w:r>
      <w:r w:rsidR="00FD4D47">
        <w:rPr>
          <w:rFonts w:ascii="Times New Roman CYR" w:hAnsi="Times New Roman CYR" w:cs="Times New Roman CYR"/>
          <w:sz w:val="28"/>
          <w:szCs w:val="28"/>
        </w:rPr>
        <w:t xml:space="preserve"> </w:t>
      </w:r>
      <w:r w:rsidRPr="00B204B8">
        <w:rPr>
          <w:rFonts w:ascii="Times New Roman CYR" w:hAnsi="Times New Roman CYR" w:cs="Times New Roman CYR"/>
          <w:sz w:val="28"/>
          <w:szCs w:val="28"/>
        </w:rPr>
        <w:t>районе – 90, в Мильковском районе – 1, в Усть-Камчатском районе – 2, в Быстринском районе – 3, в Алеутском районе – 2, в Корякском округе – 3, в Карагинском районе – 1.</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Обеспеченность населения жильем в регионе составляет </w:t>
      </w:r>
      <w:smartTag w:uri="urn:schemas-microsoft-com:office:smarttags" w:element="metricconverter">
        <w:smartTagPr>
          <w:attr w:name="ProductID" w:val="25,0 м2"/>
        </w:smartTagPr>
        <w:r w:rsidRPr="00B204B8">
          <w:rPr>
            <w:rFonts w:ascii="Times New Roman CYR" w:hAnsi="Times New Roman CYR" w:cs="Times New Roman CYR"/>
            <w:sz w:val="28"/>
            <w:szCs w:val="28"/>
          </w:rPr>
          <w:t>25,0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 xml:space="preserve"> на каждого жителя. По федеральным стандартам нормы общей площади жилья на одного члена семьи, состоящей из трех и более человек – </w:t>
      </w:r>
      <w:smartTag w:uri="urn:schemas-microsoft-com:office:smarttags" w:element="metricconverter">
        <w:smartTagPr>
          <w:attr w:name="ProductID" w:val="18 м2"/>
        </w:smartTagPr>
        <w:r w:rsidRPr="00B204B8">
          <w:rPr>
            <w:rFonts w:ascii="Times New Roman CYR" w:hAnsi="Times New Roman CYR" w:cs="Times New Roman CYR"/>
            <w:sz w:val="28"/>
            <w:szCs w:val="28"/>
          </w:rPr>
          <w:t>18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 xml:space="preserve"> на каждого, двух человек – </w:t>
      </w:r>
      <w:smartTag w:uri="urn:schemas-microsoft-com:office:smarttags" w:element="metricconverter">
        <w:smartTagPr>
          <w:attr w:name="ProductID" w:val="42 м2"/>
        </w:smartTagPr>
        <w:r w:rsidRPr="00B204B8">
          <w:rPr>
            <w:rFonts w:ascii="Times New Roman CYR" w:hAnsi="Times New Roman CYR" w:cs="Times New Roman CYR"/>
            <w:sz w:val="28"/>
            <w:szCs w:val="28"/>
          </w:rPr>
          <w:t>42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 xml:space="preserve"> на двоих, на одиноко проживающих граждан – </w:t>
      </w:r>
      <w:smartTag w:uri="urn:schemas-microsoft-com:office:smarttags" w:element="metricconverter">
        <w:smartTagPr>
          <w:attr w:name="ProductID" w:val="33 м2"/>
        </w:smartTagPr>
        <w:r w:rsidRPr="00B204B8">
          <w:rPr>
            <w:rFonts w:ascii="Times New Roman CYR" w:hAnsi="Times New Roman CYR" w:cs="Times New Roman CYR"/>
            <w:sz w:val="28"/>
            <w:szCs w:val="28"/>
          </w:rPr>
          <w:t>33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Средняя обеспеченность населения жильем в городских поселениях – </w:t>
      </w:r>
      <w:smartTag w:uri="urn:schemas-microsoft-com:office:smarttags" w:element="metricconverter">
        <w:smartTagPr>
          <w:attr w:name="ProductID" w:val="24,8 м2"/>
        </w:smartTagPr>
        <w:r w:rsidRPr="00B204B8">
          <w:rPr>
            <w:rFonts w:ascii="Times New Roman CYR" w:hAnsi="Times New Roman CYR" w:cs="Times New Roman CYR"/>
            <w:sz w:val="28"/>
            <w:szCs w:val="28"/>
          </w:rPr>
          <w:t>24,8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 xml:space="preserve">, в сельской местности – </w:t>
      </w:r>
      <w:smartTag w:uri="urn:schemas-microsoft-com:office:smarttags" w:element="metricconverter">
        <w:smartTagPr>
          <w:attr w:name="ProductID" w:val="25,8 м2"/>
        </w:smartTagPr>
        <w:r w:rsidRPr="00B204B8">
          <w:rPr>
            <w:rFonts w:ascii="Times New Roman CYR" w:hAnsi="Times New Roman CYR" w:cs="Times New Roman CYR"/>
            <w:sz w:val="28"/>
            <w:szCs w:val="28"/>
          </w:rPr>
          <w:t>25,8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 Самый высокий показатель обеспеченности жильем в Алеутском муниципальном районе (</w:t>
      </w:r>
      <w:smartTag w:uri="urn:schemas-microsoft-com:office:smarttags" w:element="metricconverter">
        <w:smartTagPr>
          <w:attr w:name="ProductID" w:val="32,8 м2"/>
        </w:smartTagPr>
        <w:r w:rsidRPr="00B204B8">
          <w:rPr>
            <w:rFonts w:ascii="Times New Roman CYR" w:hAnsi="Times New Roman CYR" w:cs="Times New Roman CYR"/>
            <w:sz w:val="28"/>
            <w:szCs w:val="28"/>
          </w:rPr>
          <w:t>32,8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 xml:space="preserve">). Это связано, в основном, с уменьшением численности населения районов. Самый низкий показатель обеспеченности жильем наблюдается в Олюторском муниципальном районе, он составляет </w:t>
      </w:r>
      <w:smartTag w:uri="urn:schemas-microsoft-com:office:smarttags" w:element="metricconverter">
        <w:smartTagPr>
          <w:attr w:name="ProductID" w:val="20,9 м2"/>
        </w:smartTagPr>
        <w:r w:rsidRPr="00B204B8">
          <w:rPr>
            <w:rFonts w:ascii="Times New Roman CYR" w:hAnsi="Times New Roman CYR" w:cs="Times New Roman CYR"/>
            <w:sz w:val="28"/>
            <w:szCs w:val="28"/>
          </w:rPr>
          <w:t>20,9 м</w:t>
        </w:r>
        <w:r w:rsidRPr="00B204B8">
          <w:rPr>
            <w:rFonts w:ascii="Times New Roman CYR" w:hAnsi="Times New Roman CYR" w:cs="Times New Roman CYR"/>
            <w:sz w:val="28"/>
            <w:szCs w:val="28"/>
            <w:vertAlign w:val="superscript"/>
          </w:rPr>
          <w:t>2</w:t>
        </w:r>
      </w:smartTag>
      <w:r w:rsidRPr="00B204B8">
        <w:rPr>
          <w:rFonts w:ascii="Times New Roman CYR" w:hAnsi="Times New Roman CYR" w:cs="Times New Roman CYR"/>
          <w:sz w:val="28"/>
          <w:szCs w:val="28"/>
        </w:rPr>
        <w:t xml:space="preserve"> на одного жителя. </w:t>
      </w:r>
    </w:p>
    <w:p w:rsidR="00053AAF" w:rsidRPr="00B204B8" w:rsidRDefault="00053AAF" w:rsidP="00053AAF">
      <w:pPr>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На 1 января 2015 года жилищный фонд Камчатского края составил 7 940,2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 общей площади, в том числе: в многоквартирных жилых домах – 7 383,6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в индивидуальных домах – 556,6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 </w:t>
      </w:r>
    </w:p>
    <w:p w:rsidR="00053AAF" w:rsidRPr="00B204B8" w:rsidRDefault="00053AAF" w:rsidP="00053AAF">
      <w:pPr>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В городской местности расположено 6 097,7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 или 76,8 % площади жилых помещений, в том числе в многоквартирных жилых домах 94,2 % или 5 741,0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в индивидуальных жилых домах – 5,8 % или 356,7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На конец 2014 года в целом по региону не оборудовано горячим водоснабжением 21,0 % общей площади жилищного фонда, ваннами – 12,9 %, отоплением (за исключением печного) – 7,3 %, канализацией – 8,6 %, водопроводом – 4,6 %.</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В сельской местности уровень благоустройства еще ниже. Так, более половины площади жилых квартир не обеспечены горячей водой, 29,0 % - ванными, отоплением – 17,9 %, канализацией – 26,0 %, водоснабжением – 18,1 %.</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Наименее благоустроенный жилищный фонд расположен в Соболевском муниципальном районе, где полностью отсутствуют центральная канализация и горячее водоснабжение. Жилищное </w:t>
      </w:r>
      <w:r w:rsidRPr="00B204B8">
        <w:rPr>
          <w:rFonts w:ascii="Times New Roman CYR" w:hAnsi="Times New Roman CYR" w:cs="Times New Roman CYR"/>
          <w:sz w:val="28"/>
          <w:szCs w:val="28"/>
        </w:rPr>
        <w:lastRenderedPageBreak/>
        <w:t>строительство на территории района не ведется. Граждане обеспечиваются жильем из освободившегося жилого фонда, который имеет тенденцию к старению и ветшанию в связи с тяжелыми природно-климатическими условиями. Органами местного самоуправления муниципальных образований в 2014 году проводилась работа, направленная на признание жилых домов аварийными и непригодными для проживания.</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В 2014 году к ветхому и аварийному фонду (с износом более 60 %) отнесены 2 582 дома общей площадью 462,6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из нее 38,5 % или 178,0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 – площадь аварийных жилых домов. В сельской местности расположены 1 040 ветхих и аварийных многоквартирных домов и 425 индивидуальных жилых домов. В городской местности – 700 многоквартирных домов и 417 частных.</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Крайне тяжелое положение с ветхим и аварийным жильем сложилось в Алеутском муниципальном районе, где доля площади ветхих и аварийных жилых помещений в общей площади жилых помещений составила 100 %. За ним идут муниципальные районы – Олюторский (43,4 %) и Быстринский (42,8 %). Наиболее благоприятная ситуация с ветхим и аварийным жильем сложилась в Петропавловск-Камчатском городском округе. Здесь доля площади ветхих и аварийных жилых помещений в общей площади жилых помещений составила 2,8 %.   </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Процесс ликвидации непригодного для проживания жилья идет очень медленно. За год по ветхости и аварийности в крае выбыло 16,4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жилья, что составляет 3,5 % от общей площади ветхого и аварийного жилого фонда. </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Большая часть жилищного фонда нуждается в неотложном капитальном ремонте и реконструкции. В 2014 году было капитально отремонтировано 199,3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 общей площади жилых домов (в 2013 году – 603,6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из них: в городской местности – 152,1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 или 76,3 %, в сельской – 47,2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xml:space="preserve"> или 23,7 %. Площадь отремонтированных помещений в квартирах составила 3,5 % (7,0 тыс. м</w:t>
      </w:r>
      <w:r w:rsidRPr="00B204B8">
        <w:rPr>
          <w:rFonts w:ascii="Times New Roman CYR" w:hAnsi="Times New Roman CYR" w:cs="Times New Roman CYR"/>
          <w:sz w:val="28"/>
          <w:szCs w:val="28"/>
          <w:vertAlign w:val="superscript"/>
        </w:rPr>
        <w:t>2</w:t>
      </w:r>
      <w:r w:rsidRPr="00B204B8">
        <w:rPr>
          <w:rFonts w:ascii="Times New Roman CYR" w:hAnsi="Times New Roman CYR" w:cs="Times New Roman CYR"/>
          <w:sz w:val="28"/>
          <w:szCs w:val="28"/>
        </w:rPr>
        <w:t>) от общей площади капитально отремонтированных жилых домов. Общие затраты на капитальный ремонт жилых домов уменьшилось в 2014 году по сравнению с 2013 годом на 22,6 % и составили 251,6 млн рублей.</w:t>
      </w:r>
    </w:p>
    <w:p w:rsidR="00BD41EB" w:rsidRPr="00B204B8" w:rsidRDefault="00BD41EB" w:rsidP="0079773F">
      <w:pPr>
        <w:widowControl w:val="0"/>
        <w:ind w:firstLine="708"/>
        <w:jc w:val="both"/>
        <w:rPr>
          <w:sz w:val="28"/>
          <w:szCs w:val="28"/>
        </w:rPr>
      </w:pPr>
      <w:r w:rsidRPr="00B204B8">
        <w:rPr>
          <w:sz w:val="28"/>
          <w:szCs w:val="28"/>
        </w:rPr>
        <w:t>При проведении комплексной оценки показателей</w:t>
      </w:r>
      <w:r w:rsidR="00FE6AFA">
        <w:rPr>
          <w:sz w:val="28"/>
          <w:szCs w:val="28"/>
        </w:rPr>
        <w:t>,</w:t>
      </w:r>
      <w:r w:rsidRPr="00B204B8">
        <w:rPr>
          <w:sz w:val="28"/>
          <w:szCs w:val="28"/>
        </w:rPr>
        <w:t xml:space="preserve"> отражающих обеспеченность граждан жильем и</w:t>
      </w:r>
      <w:r w:rsidR="00124249" w:rsidRPr="00B204B8">
        <w:rPr>
          <w:sz w:val="28"/>
          <w:szCs w:val="28"/>
        </w:rPr>
        <w:t xml:space="preserve"> </w:t>
      </w:r>
      <w:r w:rsidRPr="00B204B8">
        <w:rPr>
          <w:sz w:val="28"/>
          <w:szCs w:val="28"/>
        </w:rPr>
        <w:t>земельными участками для жилищного строительства в городских округа и муниципальных районах</w:t>
      </w:r>
      <w:r w:rsidR="00FE6AFA">
        <w:rPr>
          <w:sz w:val="28"/>
          <w:szCs w:val="28"/>
        </w:rPr>
        <w:t>,</w:t>
      </w:r>
      <w:r w:rsidRPr="00B204B8">
        <w:rPr>
          <w:sz w:val="28"/>
          <w:szCs w:val="28"/>
        </w:rPr>
        <w:t xml:space="preserve"> наилучшие результаты показали (рисунок 1</w:t>
      </w:r>
      <w:r w:rsidR="00DA1986" w:rsidRPr="00B204B8">
        <w:rPr>
          <w:sz w:val="28"/>
          <w:szCs w:val="28"/>
        </w:rPr>
        <w:t>5</w:t>
      </w:r>
      <w:r w:rsidRPr="00B204B8">
        <w:rPr>
          <w:sz w:val="28"/>
          <w:szCs w:val="28"/>
        </w:rPr>
        <w:t>)</w:t>
      </w:r>
      <w:r w:rsidR="005E350E" w:rsidRPr="00B204B8">
        <w:rPr>
          <w:sz w:val="28"/>
          <w:szCs w:val="28"/>
        </w:rPr>
        <w:t>:</w:t>
      </w:r>
    </w:p>
    <w:p w:rsidR="006B4152" w:rsidRPr="00B204B8" w:rsidRDefault="00490F10" w:rsidP="006B4152">
      <w:pPr>
        <w:widowControl w:val="0"/>
        <w:ind w:firstLine="709"/>
        <w:jc w:val="both"/>
        <w:rPr>
          <w:sz w:val="28"/>
          <w:szCs w:val="28"/>
        </w:rPr>
      </w:pPr>
      <w:r w:rsidRPr="00B204B8">
        <w:rPr>
          <w:sz w:val="28"/>
          <w:szCs w:val="28"/>
        </w:rPr>
        <w:t xml:space="preserve">  </w:t>
      </w:r>
      <w:r w:rsidR="006B4152" w:rsidRPr="00B204B8">
        <w:rPr>
          <w:sz w:val="28"/>
          <w:szCs w:val="28"/>
        </w:rPr>
        <w:t>Муниципальные районы</w:t>
      </w:r>
    </w:p>
    <w:p w:rsidR="006B4152" w:rsidRPr="00B204B8" w:rsidRDefault="006B4152" w:rsidP="006B4152">
      <w:pPr>
        <w:widowControl w:val="0"/>
        <w:ind w:firstLine="851"/>
        <w:jc w:val="both"/>
        <w:rPr>
          <w:sz w:val="28"/>
          <w:szCs w:val="28"/>
        </w:rPr>
      </w:pPr>
      <w:r w:rsidRPr="00B204B8">
        <w:rPr>
          <w:sz w:val="28"/>
          <w:szCs w:val="28"/>
        </w:rPr>
        <w:t xml:space="preserve">1) </w:t>
      </w:r>
      <w:r w:rsidR="00B85628" w:rsidRPr="00B204B8">
        <w:rPr>
          <w:sz w:val="28"/>
          <w:szCs w:val="28"/>
        </w:rPr>
        <w:t>Быстринский</w:t>
      </w:r>
    </w:p>
    <w:p w:rsidR="006B4152" w:rsidRPr="00B204B8" w:rsidRDefault="006B4152" w:rsidP="006B4152">
      <w:pPr>
        <w:widowControl w:val="0"/>
        <w:ind w:firstLine="851"/>
        <w:jc w:val="both"/>
        <w:rPr>
          <w:sz w:val="28"/>
          <w:szCs w:val="28"/>
        </w:rPr>
      </w:pPr>
      <w:r w:rsidRPr="00B204B8">
        <w:rPr>
          <w:sz w:val="28"/>
          <w:szCs w:val="28"/>
        </w:rPr>
        <w:t xml:space="preserve">2) </w:t>
      </w:r>
      <w:r w:rsidR="00B85628" w:rsidRPr="00B204B8">
        <w:rPr>
          <w:sz w:val="28"/>
          <w:szCs w:val="28"/>
        </w:rPr>
        <w:t>Усть-Камчатский</w:t>
      </w:r>
    </w:p>
    <w:p w:rsidR="001D7150" w:rsidRPr="00B204B8" w:rsidRDefault="006B4152" w:rsidP="00CA03DB">
      <w:pPr>
        <w:widowControl w:val="0"/>
        <w:ind w:firstLine="851"/>
        <w:jc w:val="both"/>
        <w:rPr>
          <w:sz w:val="28"/>
          <w:szCs w:val="28"/>
        </w:rPr>
      </w:pPr>
      <w:r w:rsidRPr="00B204B8">
        <w:rPr>
          <w:sz w:val="28"/>
          <w:szCs w:val="28"/>
        </w:rPr>
        <w:t>3)</w:t>
      </w:r>
      <w:r w:rsidR="00490F10" w:rsidRPr="00B204B8">
        <w:rPr>
          <w:sz w:val="28"/>
          <w:szCs w:val="28"/>
        </w:rPr>
        <w:t xml:space="preserve"> </w:t>
      </w:r>
      <w:r w:rsidR="00B85628" w:rsidRPr="00B204B8">
        <w:rPr>
          <w:sz w:val="28"/>
          <w:szCs w:val="28"/>
        </w:rPr>
        <w:t>Алеутский</w:t>
      </w:r>
      <w:r w:rsidR="00490F10" w:rsidRPr="00B204B8">
        <w:rPr>
          <w:sz w:val="28"/>
          <w:szCs w:val="28"/>
        </w:rPr>
        <w:t xml:space="preserve"> </w:t>
      </w:r>
    </w:p>
    <w:p w:rsidR="006B4152" w:rsidRPr="00B204B8" w:rsidRDefault="001D7150" w:rsidP="006B4152">
      <w:pPr>
        <w:widowControl w:val="0"/>
        <w:ind w:firstLine="709"/>
        <w:jc w:val="both"/>
        <w:rPr>
          <w:sz w:val="28"/>
          <w:szCs w:val="28"/>
        </w:rPr>
      </w:pPr>
      <w:r w:rsidRPr="00B204B8">
        <w:rPr>
          <w:sz w:val="28"/>
          <w:szCs w:val="28"/>
        </w:rPr>
        <w:t xml:space="preserve">  </w:t>
      </w:r>
      <w:r w:rsidR="006B4152" w:rsidRPr="00B204B8">
        <w:rPr>
          <w:sz w:val="28"/>
          <w:szCs w:val="28"/>
        </w:rPr>
        <w:t xml:space="preserve">Городской округ </w:t>
      </w:r>
    </w:p>
    <w:p w:rsidR="006B4152" w:rsidRPr="00B204B8" w:rsidRDefault="006B4152" w:rsidP="006B4152">
      <w:pPr>
        <w:widowControl w:val="0"/>
        <w:ind w:firstLine="851"/>
        <w:jc w:val="both"/>
        <w:rPr>
          <w:sz w:val="28"/>
          <w:szCs w:val="28"/>
        </w:rPr>
      </w:pPr>
      <w:r w:rsidRPr="00B204B8">
        <w:rPr>
          <w:sz w:val="28"/>
          <w:szCs w:val="28"/>
        </w:rPr>
        <w:t xml:space="preserve">1) </w:t>
      </w:r>
      <w:r w:rsidR="00B85628" w:rsidRPr="00B204B8">
        <w:rPr>
          <w:sz w:val="28"/>
          <w:szCs w:val="28"/>
        </w:rPr>
        <w:t>Петропавловск-Камчатский</w:t>
      </w:r>
    </w:p>
    <w:p w:rsidR="005E350E" w:rsidRPr="00B204B8" w:rsidRDefault="00BD41EB" w:rsidP="00124249">
      <w:pPr>
        <w:tabs>
          <w:tab w:val="num" w:pos="720"/>
        </w:tabs>
        <w:ind w:right="-1"/>
        <w:jc w:val="right"/>
        <w:rPr>
          <w:rFonts w:ascii="TimesNewRomanPSMT" w:hAnsi="TimesNewRomanPSMT" w:hint="eastAsia"/>
          <w:sz w:val="28"/>
          <w:szCs w:val="28"/>
        </w:rPr>
      </w:pP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p>
    <w:p w:rsidR="00670696" w:rsidRPr="00B204B8" w:rsidRDefault="00C60AD1" w:rsidP="00124249">
      <w:pPr>
        <w:tabs>
          <w:tab w:val="num" w:pos="720"/>
        </w:tabs>
        <w:ind w:right="-1"/>
        <w:jc w:val="right"/>
        <w:rPr>
          <w:rFonts w:ascii="TimesNewRomanPSMT" w:hAnsi="TimesNewRomanPSMT" w:hint="eastAsia"/>
          <w:b/>
          <w:sz w:val="20"/>
          <w:szCs w:val="20"/>
        </w:rPr>
      </w:pPr>
      <w:r w:rsidRPr="00B204B8">
        <w:rPr>
          <w:noProof/>
          <w:lang w:eastAsia="ru-RU"/>
        </w:rPr>
        <w:lastRenderedPageBreak/>
        <w:t xml:space="preserve"> </w:t>
      </w:r>
      <w:r w:rsidRPr="00B204B8">
        <w:rPr>
          <w:noProof/>
          <w:sz w:val="20"/>
          <w:szCs w:val="20"/>
          <w:lang w:eastAsia="ru-RU"/>
        </w:rPr>
        <w:drawing>
          <wp:inline distT="0" distB="0" distL="0" distR="0" wp14:anchorId="53F74B5D" wp14:editId="51130314">
            <wp:extent cx="5940425" cy="3879148"/>
            <wp:effectExtent l="57150" t="57150" r="41275" b="4572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670696" w:rsidRPr="00B204B8" w:rsidRDefault="002C1F99" w:rsidP="002C1F99">
      <w:pPr>
        <w:tabs>
          <w:tab w:val="num" w:pos="720"/>
        </w:tabs>
        <w:ind w:right="-1"/>
        <w:jc w:val="center"/>
        <w:rPr>
          <w:rFonts w:ascii="TimesNewRomanPSMT" w:hAnsi="TimesNewRomanPSMT" w:hint="eastAsia"/>
          <w:sz w:val="28"/>
          <w:szCs w:val="28"/>
        </w:rPr>
      </w:pPr>
      <w:r>
        <w:rPr>
          <w:rFonts w:ascii="TimesNewRomanPSMT" w:hAnsi="TimesNewRomanPSMT"/>
          <w:sz w:val="28"/>
          <w:szCs w:val="28"/>
        </w:rPr>
        <w:t>Рисунок 15</w:t>
      </w:r>
    </w:p>
    <w:p w:rsidR="00DD5DEC" w:rsidRPr="00B204B8" w:rsidRDefault="00DD5DEC" w:rsidP="00DD5DEC">
      <w:pPr>
        <w:tabs>
          <w:tab w:val="num" w:pos="720"/>
        </w:tabs>
        <w:jc w:val="both"/>
        <w:rPr>
          <w:rFonts w:ascii="TimesNewRomanPSMT" w:hAnsi="TimesNewRomanPSMT" w:hint="eastAsia"/>
          <w:b/>
          <w:sz w:val="28"/>
          <w:szCs w:val="28"/>
        </w:rPr>
      </w:pP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r>
      <w:r w:rsidRPr="00B204B8">
        <w:rPr>
          <w:rFonts w:ascii="TimesNewRomanPSMT" w:hAnsi="TimesNewRomanPSMT"/>
          <w:b/>
          <w:sz w:val="28"/>
          <w:szCs w:val="28"/>
        </w:rPr>
        <w:tab/>
        <w:t xml:space="preserve"> </w:t>
      </w:r>
    </w:p>
    <w:p w:rsidR="00DD5DEC" w:rsidRPr="00B204B8" w:rsidRDefault="00DD5DEC" w:rsidP="00DD5DEC">
      <w:pPr>
        <w:tabs>
          <w:tab w:val="num" w:pos="720"/>
        </w:tabs>
        <w:ind w:firstLine="709"/>
        <w:jc w:val="center"/>
        <w:rPr>
          <w:rFonts w:ascii="TimesNew" w:eastAsia="TimesNewRomanPSMT" w:hAnsi="TimesNew"/>
          <w:b/>
          <w:sz w:val="28"/>
          <w:szCs w:val="28"/>
        </w:rPr>
      </w:pPr>
      <w:r w:rsidRPr="00B204B8">
        <w:rPr>
          <w:rFonts w:ascii="TimesNew" w:eastAsia="TimesNewRomanPSMT" w:hAnsi="TimesNew"/>
          <w:b/>
          <w:sz w:val="28"/>
          <w:szCs w:val="28"/>
        </w:rPr>
        <w:t>7. Жилищно-коммунальное хозяйство</w:t>
      </w:r>
    </w:p>
    <w:p w:rsidR="00C6469D" w:rsidRPr="00B204B8" w:rsidRDefault="00C6469D" w:rsidP="00787D44">
      <w:pPr>
        <w:jc w:val="both"/>
        <w:rPr>
          <w:sz w:val="28"/>
          <w:szCs w:val="28"/>
        </w:rPr>
      </w:pP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Жилищно-коммунальные услуги занимают особое место на потребительском рынке и носят обязательный характер для населения. Увеличение объема жилищно-коммунальных услуг в значительной степени обусловлено динамикой, устанавливаемой федеральными стандартами, доли платежей населения в покрытии затрат на оказание этих услуг. </w:t>
      </w:r>
    </w:p>
    <w:p w:rsidR="00053AAF" w:rsidRPr="00B204B8" w:rsidRDefault="00053AAF" w:rsidP="00053AAF">
      <w:pPr>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В 2014 году в жилищно-коммунальном хозяйстве Камчатского края продолжена работа по обеспечению надежности объектов коммунальной инфраструктуры: введены в строй ряд значимых объектов, выполнен большой объем работ по капитальному ремонту домов и дворовых территорий, реконструированы объекты теплоснабжения, улучшено качество предоставляемых услуг. </w:t>
      </w:r>
    </w:p>
    <w:p w:rsidR="00053AAF" w:rsidRPr="00B204B8" w:rsidRDefault="00053AAF" w:rsidP="00053AAF">
      <w:pPr>
        <w:widowControl w:val="0"/>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На поддержку инфраструктуры жилищно-коммунального хозяйства было направлено 8 965,17  млн руб., (106,0% от объема 2013 года), или 14,1 % </w:t>
      </w:r>
      <w:r w:rsidR="00D46A62" w:rsidRPr="00B204B8">
        <w:rPr>
          <w:rFonts w:ascii="Times New Roman CYR" w:hAnsi="Times New Roman CYR" w:cs="Times New Roman CYR"/>
          <w:sz w:val="28"/>
          <w:szCs w:val="28"/>
        </w:rPr>
        <w:t xml:space="preserve">расходов </w:t>
      </w:r>
      <w:r w:rsidRPr="00B204B8">
        <w:rPr>
          <w:rFonts w:ascii="Times New Roman CYR" w:hAnsi="Times New Roman CYR" w:cs="Times New Roman CYR"/>
          <w:sz w:val="28"/>
          <w:szCs w:val="28"/>
        </w:rPr>
        <w:t>консолидированного</w:t>
      </w:r>
      <w:r w:rsidRPr="00B204B8">
        <w:rPr>
          <w:rFonts w:asciiTheme="minorHAnsi" w:hAnsiTheme="minorHAnsi" w:cs="Times New Roman CYR"/>
          <w:sz w:val="28"/>
          <w:szCs w:val="28"/>
        </w:rPr>
        <w:t xml:space="preserve"> </w:t>
      </w:r>
      <w:r w:rsidRPr="00B204B8">
        <w:rPr>
          <w:rFonts w:ascii="Times New Roman CYR" w:hAnsi="Times New Roman CYR" w:cs="Times New Roman CYR"/>
          <w:sz w:val="28"/>
          <w:szCs w:val="28"/>
        </w:rPr>
        <w:t xml:space="preserve">бюджета края. </w:t>
      </w:r>
    </w:p>
    <w:p w:rsidR="00053AAF" w:rsidRPr="00B204B8" w:rsidRDefault="00053AAF" w:rsidP="00053AAF">
      <w:pPr>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t xml:space="preserve">Одним из направлений реформирования жилищно-коммунального хозяйства является развитие конкурентной среды в сфере обслуживания многоквартирных домов через создание товариществ собственников жилья и жилищных кооперативов, а также через выбор управляющих организаций собственниками жилья. </w:t>
      </w:r>
    </w:p>
    <w:p w:rsidR="00053AAF" w:rsidRPr="00B204B8" w:rsidRDefault="00053AAF" w:rsidP="00053AAF">
      <w:pPr>
        <w:autoSpaceDE w:val="0"/>
        <w:autoSpaceDN w:val="0"/>
        <w:adjustRightInd w:val="0"/>
        <w:ind w:firstLine="709"/>
        <w:jc w:val="both"/>
        <w:rPr>
          <w:rFonts w:ascii="Times New Roman CYR" w:hAnsi="Times New Roman CYR" w:cs="Times New Roman CYR"/>
          <w:sz w:val="28"/>
          <w:szCs w:val="28"/>
        </w:rPr>
      </w:pPr>
      <w:r w:rsidRPr="00B204B8">
        <w:rPr>
          <w:rFonts w:ascii="Times New Roman CYR" w:hAnsi="Times New Roman CYR" w:cs="Times New Roman CYR"/>
          <w:sz w:val="28"/>
          <w:szCs w:val="28"/>
        </w:rPr>
        <w:lastRenderedPageBreak/>
        <w:t>В соответствии с изменениями, внесенными в Жилищный кодекс РФ (раздел X) в срок до 01 мая 2015 все юридические лица, индивидуальные предприниматели, осуществляющие управление многоквартирными домами, должны получить лицензию на осуществление такой деятельности. Важное условие лицензирования – наличие квалификационного аттестата у руководителя управляющей компании; проверка знаний будет проходить каждые 5 лет.</w:t>
      </w:r>
    </w:p>
    <w:p w:rsidR="00E76EBB" w:rsidRPr="00B204B8" w:rsidRDefault="00E76EBB" w:rsidP="00E76EBB">
      <w:pPr>
        <w:widowControl w:val="0"/>
        <w:ind w:firstLine="709"/>
        <w:jc w:val="both"/>
        <w:rPr>
          <w:sz w:val="28"/>
          <w:szCs w:val="28"/>
        </w:rPr>
      </w:pPr>
      <w:r w:rsidRPr="00B204B8">
        <w:rPr>
          <w:sz w:val="28"/>
          <w:szCs w:val="28"/>
        </w:rPr>
        <w:t>По результатам проведенной оценки деятельности органов местного самоуправления наивысшие значения сводных индексов показателей</w:t>
      </w:r>
      <w:r w:rsidR="00D3185A">
        <w:rPr>
          <w:sz w:val="28"/>
          <w:szCs w:val="28"/>
        </w:rPr>
        <w:t>,</w:t>
      </w:r>
      <w:r w:rsidRPr="00B204B8">
        <w:rPr>
          <w:sz w:val="28"/>
          <w:szCs w:val="28"/>
        </w:rPr>
        <w:t xml:space="preserve"> характеризующих состояние жилищно-коммунального хозяйства</w:t>
      </w:r>
      <w:r w:rsidR="00D3185A">
        <w:rPr>
          <w:sz w:val="28"/>
          <w:szCs w:val="28"/>
        </w:rPr>
        <w:t>,</w:t>
      </w:r>
      <w:r w:rsidRPr="00B204B8">
        <w:rPr>
          <w:sz w:val="28"/>
          <w:szCs w:val="28"/>
        </w:rPr>
        <w:t xml:space="preserve"> достигли (рисунок 1</w:t>
      </w:r>
      <w:r w:rsidR="00E76A83">
        <w:rPr>
          <w:sz w:val="28"/>
          <w:szCs w:val="28"/>
        </w:rPr>
        <w:t>6</w:t>
      </w:r>
      <w:r w:rsidRPr="00B204B8">
        <w:rPr>
          <w:sz w:val="28"/>
          <w:szCs w:val="28"/>
        </w:rPr>
        <w:t>)</w:t>
      </w:r>
      <w:r w:rsidR="00E76A83">
        <w:rPr>
          <w:sz w:val="28"/>
          <w:szCs w:val="28"/>
        </w:rPr>
        <w:t>:</w:t>
      </w:r>
    </w:p>
    <w:p w:rsidR="00161340" w:rsidRPr="00B204B8" w:rsidRDefault="003131B0" w:rsidP="00161340">
      <w:pPr>
        <w:widowControl w:val="0"/>
        <w:ind w:firstLine="709"/>
        <w:jc w:val="both"/>
        <w:rPr>
          <w:sz w:val="28"/>
          <w:szCs w:val="28"/>
        </w:rPr>
      </w:pPr>
      <w:r w:rsidRPr="00B204B8">
        <w:rPr>
          <w:sz w:val="28"/>
          <w:szCs w:val="28"/>
        </w:rPr>
        <w:t xml:space="preserve">  </w:t>
      </w:r>
      <w:r w:rsidR="00161340" w:rsidRPr="00B204B8">
        <w:rPr>
          <w:sz w:val="28"/>
          <w:szCs w:val="28"/>
        </w:rPr>
        <w:t>Муниципальные районы</w:t>
      </w:r>
    </w:p>
    <w:p w:rsidR="00161340" w:rsidRPr="00B204B8" w:rsidRDefault="00161340" w:rsidP="00161340">
      <w:pPr>
        <w:widowControl w:val="0"/>
        <w:ind w:firstLine="851"/>
        <w:jc w:val="both"/>
        <w:rPr>
          <w:sz w:val="28"/>
          <w:szCs w:val="28"/>
        </w:rPr>
      </w:pPr>
      <w:r w:rsidRPr="00B204B8">
        <w:rPr>
          <w:sz w:val="28"/>
          <w:szCs w:val="28"/>
        </w:rPr>
        <w:t>1) Усть-Камчатский</w:t>
      </w:r>
    </w:p>
    <w:p w:rsidR="00161340" w:rsidRPr="00B204B8" w:rsidRDefault="00161340" w:rsidP="00161340">
      <w:pPr>
        <w:widowControl w:val="0"/>
        <w:ind w:firstLine="851"/>
        <w:jc w:val="both"/>
        <w:rPr>
          <w:sz w:val="28"/>
          <w:szCs w:val="28"/>
        </w:rPr>
      </w:pPr>
      <w:r w:rsidRPr="00B204B8">
        <w:rPr>
          <w:sz w:val="28"/>
          <w:szCs w:val="28"/>
        </w:rPr>
        <w:t>2) Усть-Большерецкий</w:t>
      </w:r>
    </w:p>
    <w:p w:rsidR="00161340" w:rsidRPr="00B204B8" w:rsidRDefault="00161340" w:rsidP="00161340">
      <w:pPr>
        <w:widowControl w:val="0"/>
        <w:ind w:firstLine="851"/>
        <w:jc w:val="both"/>
        <w:rPr>
          <w:sz w:val="28"/>
          <w:szCs w:val="28"/>
        </w:rPr>
      </w:pPr>
      <w:r w:rsidRPr="00B204B8">
        <w:rPr>
          <w:sz w:val="28"/>
          <w:szCs w:val="28"/>
        </w:rPr>
        <w:t xml:space="preserve">3) Быстринский  </w:t>
      </w:r>
    </w:p>
    <w:p w:rsidR="00161340" w:rsidRPr="00B204B8" w:rsidRDefault="00161340" w:rsidP="00161340">
      <w:pPr>
        <w:widowControl w:val="0"/>
        <w:ind w:firstLine="709"/>
        <w:jc w:val="both"/>
        <w:rPr>
          <w:sz w:val="28"/>
          <w:szCs w:val="28"/>
        </w:rPr>
      </w:pPr>
      <w:r w:rsidRPr="00B204B8">
        <w:rPr>
          <w:sz w:val="28"/>
          <w:szCs w:val="28"/>
        </w:rPr>
        <w:t xml:space="preserve">  Городской округ </w:t>
      </w:r>
    </w:p>
    <w:p w:rsidR="00161340" w:rsidRPr="00B204B8" w:rsidRDefault="00161340" w:rsidP="00161340">
      <w:pPr>
        <w:widowControl w:val="0"/>
        <w:ind w:firstLine="851"/>
        <w:jc w:val="both"/>
        <w:rPr>
          <w:sz w:val="28"/>
          <w:szCs w:val="28"/>
        </w:rPr>
      </w:pPr>
      <w:r w:rsidRPr="00B204B8">
        <w:rPr>
          <w:sz w:val="28"/>
          <w:szCs w:val="28"/>
        </w:rPr>
        <w:t>1) Вилючинский</w:t>
      </w:r>
    </w:p>
    <w:p w:rsidR="00C60AD1" w:rsidRPr="00B204B8" w:rsidRDefault="00B50CEE" w:rsidP="00E76A83">
      <w:pPr>
        <w:widowControl w:val="0"/>
        <w:ind w:firstLine="709"/>
        <w:jc w:val="both"/>
        <w:rPr>
          <w:rFonts w:ascii="TimesNewRomanPSMT" w:hAnsi="TimesNewRomanPSMT" w:hint="eastAsia"/>
          <w:b/>
          <w:sz w:val="28"/>
          <w:szCs w:val="28"/>
        </w:rPr>
      </w:pP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r w:rsidRPr="00B204B8">
        <w:rPr>
          <w:rFonts w:ascii="TimesNewRomanPSMT" w:hAnsi="TimesNewRomanPSMT"/>
          <w:sz w:val="28"/>
          <w:szCs w:val="28"/>
        </w:rPr>
        <w:tab/>
      </w:r>
    </w:p>
    <w:p w:rsidR="00670696" w:rsidRPr="00B204B8" w:rsidRDefault="00C25E99" w:rsidP="00FA5505">
      <w:pPr>
        <w:tabs>
          <w:tab w:val="num" w:pos="720"/>
        </w:tabs>
        <w:ind w:right="-1"/>
        <w:jc w:val="right"/>
        <w:rPr>
          <w:b/>
          <w:sz w:val="28"/>
          <w:szCs w:val="28"/>
        </w:rPr>
      </w:pPr>
      <w:r w:rsidRPr="00B204B8">
        <w:rPr>
          <w:noProof/>
          <w:lang w:eastAsia="ru-RU"/>
        </w:rPr>
        <w:drawing>
          <wp:inline distT="0" distB="0" distL="0" distR="0" wp14:anchorId="2815313D" wp14:editId="500EB4AB">
            <wp:extent cx="6130456" cy="4731026"/>
            <wp:effectExtent l="57150" t="57150" r="41910" b="5080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670696" w:rsidRDefault="005717A5" w:rsidP="005717A5">
      <w:pPr>
        <w:widowControl w:val="0"/>
        <w:jc w:val="center"/>
        <w:rPr>
          <w:sz w:val="28"/>
          <w:szCs w:val="28"/>
        </w:rPr>
      </w:pPr>
      <w:r w:rsidRPr="005717A5">
        <w:rPr>
          <w:sz w:val="28"/>
          <w:szCs w:val="28"/>
        </w:rPr>
        <w:t>Рисунок 16</w:t>
      </w:r>
    </w:p>
    <w:p w:rsidR="005717A5" w:rsidRPr="005717A5" w:rsidRDefault="005717A5" w:rsidP="005717A5">
      <w:pPr>
        <w:widowControl w:val="0"/>
        <w:jc w:val="center"/>
        <w:rPr>
          <w:sz w:val="28"/>
          <w:szCs w:val="28"/>
        </w:rPr>
      </w:pPr>
    </w:p>
    <w:p w:rsidR="00FA5505" w:rsidRDefault="00FA5505" w:rsidP="00DD5DEC">
      <w:pPr>
        <w:tabs>
          <w:tab w:val="num" w:pos="720"/>
        </w:tabs>
        <w:ind w:firstLine="709"/>
        <w:jc w:val="center"/>
        <w:rPr>
          <w:b/>
          <w:sz w:val="28"/>
          <w:szCs w:val="28"/>
        </w:rPr>
      </w:pPr>
    </w:p>
    <w:p w:rsidR="00DD5DEC" w:rsidRPr="00B204B8" w:rsidRDefault="00DD5DEC" w:rsidP="00DD5DEC">
      <w:pPr>
        <w:tabs>
          <w:tab w:val="num" w:pos="720"/>
        </w:tabs>
        <w:ind w:firstLine="709"/>
        <w:jc w:val="center"/>
        <w:rPr>
          <w:b/>
          <w:sz w:val="28"/>
          <w:szCs w:val="28"/>
        </w:rPr>
      </w:pPr>
      <w:r w:rsidRPr="00B204B8">
        <w:rPr>
          <w:b/>
          <w:sz w:val="28"/>
          <w:szCs w:val="28"/>
        </w:rPr>
        <w:lastRenderedPageBreak/>
        <w:t>8. Организация муниципального управления</w:t>
      </w:r>
    </w:p>
    <w:p w:rsidR="007B3B7B" w:rsidRPr="00B204B8" w:rsidRDefault="007B3B7B" w:rsidP="002726E6">
      <w:pPr>
        <w:widowControl w:val="0"/>
        <w:ind w:firstLine="709"/>
        <w:jc w:val="both"/>
        <w:rPr>
          <w:sz w:val="28"/>
          <w:szCs w:val="28"/>
        </w:rPr>
      </w:pPr>
    </w:p>
    <w:p w:rsidR="00A16B04" w:rsidRPr="00947C1C" w:rsidRDefault="00A16B04" w:rsidP="00A16B04">
      <w:pPr>
        <w:widowControl w:val="0"/>
        <w:ind w:firstLine="709"/>
        <w:jc w:val="both"/>
        <w:rPr>
          <w:sz w:val="28"/>
          <w:szCs w:val="28"/>
        </w:rPr>
      </w:pPr>
      <w:r w:rsidRPr="00B204B8">
        <w:rPr>
          <w:sz w:val="28"/>
          <w:szCs w:val="28"/>
        </w:rPr>
        <w:t xml:space="preserve">Исполнение консолидированного бюджета края в 2014 году осуществлялось на основании Закона Камчатского </w:t>
      </w:r>
      <w:r w:rsidRPr="00947C1C">
        <w:rPr>
          <w:sz w:val="28"/>
          <w:szCs w:val="28"/>
        </w:rPr>
        <w:t>края от 20.11.2013 № 340 «О краевом бюджете на 2014 год и на плановый период 2015 и 2016 годов», соответствующих решений органов местного самоуправления, Камчатского территориального фонда обязательного медицинского страхования с учетом основных направлений налогово-бюджетной политики Камчатского края, условий соглашения между Правительством Камчатского края и Минфином России по реализации мер, направленных на повышение эффективности использования бюджетных средств и увеличение поступлений налоговых и неналоговых доходов бюджета Камчатского края.</w:t>
      </w:r>
    </w:p>
    <w:p w:rsidR="00A16B04" w:rsidRPr="00947C1C" w:rsidRDefault="00A16B04" w:rsidP="00A16B04">
      <w:pPr>
        <w:widowControl w:val="0"/>
        <w:ind w:firstLine="709"/>
        <w:jc w:val="both"/>
        <w:rPr>
          <w:sz w:val="28"/>
          <w:szCs w:val="28"/>
        </w:rPr>
      </w:pPr>
      <w:r w:rsidRPr="00947C1C">
        <w:rPr>
          <w:sz w:val="28"/>
          <w:szCs w:val="28"/>
        </w:rPr>
        <w:t xml:space="preserve">В 2014 году объемы располагаемых средств бюджетов всех уровней региональной бюджетной системы возросли на 7,2 %. С учетом средств бюджета фонда ОМС доходы составили 68 409,9  млн   рублей. </w:t>
      </w:r>
    </w:p>
    <w:p w:rsidR="00A16B04" w:rsidRDefault="00A16B04" w:rsidP="00A16B04">
      <w:pPr>
        <w:widowControl w:val="0"/>
        <w:ind w:firstLine="709"/>
        <w:jc w:val="both"/>
        <w:rPr>
          <w:sz w:val="28"/>
          <w:szCs w:val="28"/>
        </w:rPr>
      </w:pPr>
      <w:r w:rsidRPr="00947C1C">
        <w:rPr>
          <w:sz w:val="28"/>
          <w:szCs w:val="28"/>
        </w:rPr>
        <w:t>Бюджеты всех городских округов и муниципальных районов в Камчатском крае являются высокодотационными с доминирующей</w:t>
      </w:r>
      <w:r>
        <w:rPr>
          <w:sz w:val="28"/>
          <w:szCs w:val="28"/>
        </w:rPr>
        <w:t xml:space="preserve"> долей участия ресурсов вышестоящего бюджета. Так, в отчетном году доля безвозмездных поступлений от других бюджетов бюджетной системы Российской Федерации в структуре доходов бюджета Алеутского муниципального района составила 98,4 %; Пенжинского муниципального района – 95,6 %; Быстринского муниципального района – 94,8 %. Наименьшая доля безвозмездных поступлений от вышестоящего уровня власти в структуре доходов бюджета сохранилась в городских округах – Петропавловск-Камчатском и Вилючинском и составила 63,2 % и 76,7 % соответственно. </w:t>
      </w:r>
    </w:p>
    <w:p w:rsidR="00A16B04" w:rsidRDefault="00A16B04" w:rsidP="00A16B04">
      <w:pPr>
        <w:widowControl w:val="0"/>
        <w:ind w:firstLine="709"/>
        <w:jc w:val="both"/>
        <w:rPr>
          <w:sz w:val="28"/>
          <w:szCs w:val="28"/>
        </w:rPr>
      </w:pPr>
      <w:r>
        <w:rPr>
          <w:sz w:val="28"/>
          <w:szCs w:val="28"/>
        </w:rPr>
        <w:t>В 2014 году наблюдалось снижение  налоговых и неналоговых поступлений по сравнению с 2013 годом в  бюджеты  всех городских округов и муниципальных районах в Камчатском крае: в Пенжинском муниципальном районе на 28,7 %; в Усть-Камчатском</w:t>
      </w:r>
      <w:r w:rsidRPr="004D312B">
        <w:rPr>
          <w:sz w:val="28"/>
          <w:szCs w:val="28"/>
        </w:rPr>
        <w:t xml:space="preserve"> </w:t>
      </w:r>
      <w:r>
        <w:rPr>
          <w:sz w:val="28"/>
          <w:szCs w:val="28"/>
        </w:rPr>
        <w:t xml:space="preserve">муниципальном районе на 21,0 %; в Алеутском муниципальном районе на 16,9 %; в Елизовском муниципальном районе на 14,8 %; в Тигильском муниципальном районе на 14,6 %; в Усть-Большерецком муниципальном районе на 13,6 %; в городских округах Вилючинский и п. Палана на 13,2 % и 12,3 % соответственно; в Мильковском муниципальном районе на 12,0 %; в Быстринском муниципальном районе на 10,5 %; в Петропавловск-Камчатском городском округе на 10,3 %; в Карагинском муниципальном районе на 7,8 %; в Соболевском муниципальном районе на 7,0 %.  Исключение составил Олюторский район, где налоговые и неналоговые поступления увеличились на 9,4 %. </w:t>
      </w:r>
    </w:p>
    <w:p w:rsidR="00A16B04" w:rsidRPr="00F76FC1" w:rsidRDefault="00A16B04" w:rsidP="00A16B04">
      <w:pPr>
        <w:widowControl w:val="0"/>
        <w:ind w:firstLine="709"/>
        <w:jc w:val="both"/>
        <w:rPr>
          <w:sz w:val="28"/>
          <w:szCs w:val="28"/>
        </w:rPr>
      </w:pPr>
      <w:r w:rsidRPr="00F76FC1">
        <w:rPr>
          <w:sz w:val="28"/>
          <w:szCs w:val="28"/>
        </w:rPr>
        <w:t xml:space="preserve">Структура расходов обусловлена системой расходных приоритетов, ориентированной на безусловное исполнение публичных обязательств в сферах социального развития, создания благоприятного инвестиционного климата, поддержки значимых отраслей хозяйства. </w:t>
      </w:r>
    </w:p>
    <w:p w:rsidR="00A16B04" w:rsidRPr="00F76FC1" w:rsidRDefault="00A16B04" w:rsidP="00A16B04">
      <w:pPr>
        <w:widowControl w:val="0"/>
        <w:ind w:firstLine="709"/>
        <w:jc w:val="both"/>
        <w:rPr>
          <w:sz w:val="28"/>
          <w:szCs w:val="28"/>
        </w:rPr>
      </w:pPr>
      <w:r w:rsidRPr="00F76FC1">
        <w:rPr>
          <w:sz w:val="28"/>
          <w:szCs w:val="28"/>
        </w:rPr>
        <w:lastRenderedPageBreak/>
        <w:t>Бюджет Камчатского края носит социально ориентированный характер.  Расходы на решение задач социального характера составляют до 52 % всех расходов бюджета.</w:t>
      </w:r>
    </w:p>
    <w:p w:rsidR="00A16B04" w:rsidRPr="00F76FC1" w:rsidRDefault="00A16B04" w:rsidP="00A16B04">
      <w:pPr>
        <w:widowControl w:val="0"/>
        <w:ind w:firstLine="709"/>
        <w:jc w:val="both"/>
        <w:rPr>
          <w:sz w:val="28"/>
          <w:szCs w:val="28"/>
        </w:rPr>
      </w:pPr>
      <w:r w:rsidRPr="00F76FC1">
        <w:rPr>
          <w:sz w:val="28"/>
          <w:szCs w:val="28"/>
        </w:rPr>
        <w:t xml:space="preserve">Бюджеты всех муниципальных образований в регионе также являются социально ориентированными. Основная статья расходов бюджетных средств во всех городских округах и муниципальных районов в Камчатском крае – «Образование». Так, на финансирование образования в 2014 году направлено от 17,8 % (Алеутский муниципальный район) до 59,8 %  (Елизовский муниципальный район) расходов бюджета муниципального образования. </w:t>
      </w:r>
    </w:p>
    <w:p w:rsidR="002726E6" w:rsidRPr="00B204B8" w:rsidRDefault="002726E6" w:rsidP="002726E6">
      <w:pPr>
        <w:tabs>
          <w:tab w:val="num" w:pos="720"/>
        </w:tabs>
        <w:ind w:firstLine="709"/>
        <w:jc w:val="both"/>
        <w:rPr>
          <w:sz w:val="28"/>
          <w:szCs w:val="28"/>
        </w:rPr>
      </w:pPr>
      <w:r w:rsidRPr="00B204B8">
        <w:rPr>
          <w:sz w:val="28"/>
          <w:szCs w:val="28"/>
        </w:rPr>
        <w:t>По результатам проведенной оценки деятельности органов местного самоуправления наивысшие значения сводных индексов показателей</w:t>
      </w:r>
      <w:r w:rsidR="00C876BA">
        <w:rPr>
          <w:sz w:val="28"/>
          <w:szCs w:val="28"/>
        </w:rPr>
        <w:t>,</w:t>
      </w:r>
      <w:r w:rsidRPr="00B204B8">
        <w:rPr>
          <w:sz w:val="28"/>
          <w:szCs w:val="28"/>
        </w:rPr>
        <w:t xml:space="preserve"> отражающих эффективность организации муниципального управления</w:t>
      </w:r>
      <w:r w:rsidR="00C876BA">
        <w:rPr>
          <w:sz w:val="28"/>
          <w:szCs w:val="28"/>
        </w:rPr>
        <w:t>,</w:t>
      </w:r>
      <w:r w:rsidRPr="00B204B8">
        <w:rPr>
          <w:sz w:val="28"/>
          <w:szCs w:val="28"/>
        </w:rPr>
        <w:t xml:space="preserve"> сложились в следующих муниципальных образованиях (рисунок 1</w:t>
      </w:r>
      <w:r w:rsidR="000E6354">
        <w:rPr>
          <w:sz w:val="28"/>
          <w:szCs w:val="28"/>
        </w:rPr>
        <w:t>7</w:t>
      </w:r>
      <w:r w:rsidRPr="00B204B8">
        <w:rPr>
          <w:sz w:val="28"/>
          <w:szCs w:val="28"/>
        </w:rPr>
        <w:t>):</w:t>
      </w:r>
    </w:p>
    <w:p w:rsidR="00BD6ABE" w:rsidRPr="00B204B8" w:rsidRDefault="00BD6ABE" w:rsidP="00BD6ABE">
      <w:pPr>
        <w:tabs>
          <w:tab w:val="num" w:pos="720"/>
        </w:tabs>
        <w:ind w:firstLine="709"/>
        <w:rPr>
          <w:sz w:val="28"/>
          <w:szCs w:val="28"/>
        </w:rPr>
      </w:pPr>
      <w:r w:rsidRPr="00B204B8">
        <w:rPr>
          <w:sz w:val="28"/>
          <w:szCs w:val="28"/>
        </w:rPr>
        <w:t>Муниципальные районы</w:t>
      </w:r>
    </w:p>
    <w:p w:rsidR="00BD6ABE" w:rsidRPr="00B204B8" w:rsidRDefault="00BD6ABE" w:rsidP="00BD6ABE">
      <w:pPr>
        <w:tabs>
          <w:tab w:val="num" w:pos="720"/>
        </w:tabs>
        <w:ind w:firstLine="709"/>
        <w:rPr>
          <w:sz w:val="28"/>
          <w:szCs w:val="28"/>
        </w:rPr>
      </w:pPr>
      <w:r w:rsidRPr="00B204B8">
        <w:rPr>
          <w:sz w:val="28"/>
          <w:szCs w:val="28"/>
        </w:rPr>
        <w:t xml:space="preserve">1) </w:t>
      </w:r>
      <w:r w:rsidR="00FA1EB2" w:rsidRPr="00B204B8">
        <w:rPr>
          <w:sz w:val="28"/>
          <w:szCs w:val="28"/>
        </w:rPr>
        <w:t>Тигильский</w:t>
      </w:r>
    </w:p>
    <w:p w:rsidR="00BD6ABE" w:rsidRPr="00B204B8" w:rsidRDefault="00BD6ABE" w:rsidP="00BD6ABE">
      <w:pPr>
        <w:tabs>
          <w:tab w:val="num" w:pos="720"/>
        </w:tabs>
        <w:ind w:firstLine="709"/>
        <w:rPr>
          <w:sz w:val="28"/>
          <w:szCs w:val="28"/>
        </w:rPr>
      </w:pPr>
      <w:r w:rsidRPr="00B204B8">
        <w:rPr>
          <w:sz w:val="28"/>
          <w:szCs w:val="28"/>
        </w:rPr>
        <w:t xml:space="preserve">2) </w:t>
      </w:r>
      <w:r w:rsidR="00FA1EB2" w:rsidRPr="00B204B8">
        <w:rPr>
          <w:sz w:val="28"/>
          <w:szCs w:val="28"/>
        </w:rPr>
        <w:t>Елизовский</w:t>
      </w:r>
    </w:p>
    <w:p w:rsidR="00BD6ABE" w:rsidRDefault="00BD6ABE" w:rsidP="00BD6ABE">
      <w:pPr>
        <w:tabs>
          <w:tab w:val="num" w:pos="720"/>
        </w:tabs>
        <w:ind w:firstLine="709"/>
        <w:rPr>
          <w:sz w:val="28"/>
          <w:szCs w:val="28"/>
        </w:rPr>
      </w:pPr>
      <w:r w:rsidRPr="00B204B8">
        <w:rPr>
          <w:sz w:val="28"/>
          <w:szCs w:val="28"/>
        </w:rPr>
        <w:t xml:space="preserve">3) </w:t>
      </w:r>
      <w:r w:rsidR="00252E13" w:rsidRPr="00B204B8">
        <w:rPr>
          <w:sz w:val="28"/>
          <w:szCs w:val="28"/>
        </w:rPr>
        <w:t>Карагинский</w:t>
      </w:r>
    </w:p>
    <w:p w:rsidR="00CF5A9A" w:rsidRPr="00B204B8" w:rsidRDefault="00CF5A9A" w:rsidP="00BD6ABE">
      <w:pPr>
        <w:tabs>
          <w:tab w:val="num" w:pos="720"/>
        </w:tabs>
        <w:ind w:firstLine="709"/>
        <w:rPr>
          <w:sz w:val="28"/>
          <w:szCs w:val="28"/>
        </w:rPr>
      </w:pPr>
    </w:p>
    <w:p w:rsidR="00BD6ABE" w:rsidRPr="00B204B8" w:rsidRDefault="00BD6ABE" w:rsidP="00BD6ABE">
      <w:pPr>
        <w:tabs>
          <w:tab w:val="num" w:pos="720"/>
        </w:tabs>
        <w:ind w:firstLine="709"/>
        <w:rPr>
          <w:sz w:val="28"/>
          <w:szCs w:val="28"/>
        </w:rPr>
      </w:pPr>
      <w:r w:rsidRPr="00B204B8">
        <w:rPr>
          <w:sz w:val="28"/>
          <w:szCs w:val="28"/>
        </w:rPr>
        <w:t xml:space="preserve">Городской округ </w:t>
      </w:r>
    </w:p>
    <w:p w:rsidR="002726E6" w:rsidRPr="00B204B8" w:rsidRDefault="00BD6ABE" w:rsidP="00BD6ABE">
      <w:pPr>
        <w:tabs>
          <w:tab w:val="num" w:pos="720"/>
        </w:tabs>
        <w:ind w:firstLine="709"/>
        <w:rPr>
          <w:sz w:val="28"/>
          <w:szCs w:val="28"/>
        </w:rPr>
      </w:pPr>
      <w:r w:rsidRPr="00B204B8">
        <w:rPr>
          <w:sz w:val="28"/>
          <w:szCs w:val="28"/>
        </w:rPr>
        <w:t xml:space="preserve">1) </w:t>
      </w:r>
      <w:r w:rsidR="00BC4B64" w:rsidRPr="00B204B8">
        <w:rPr>
          <w:sz w:val="28"/>
          <w:szCs w:val="28"/>
        </w:rPr>
        <w:t>п</w:t>
      </w:r>
      <w:r w:rsidR="00252E13" w:rsidRPr="00B204B8">
        <w:rPr>
          <w:sz w:val="28"/>
          <w:szCs w:val="28"/>
        </w:rPr>
        <w:t>. П</w:t>
      </w:r>
      <w:r w:rsidR="00BC4B64" w:rsidRPr="00B204B8">
        <w:rPr>
          <w:sz w:val="28"/>
          <w:szCs w:val="28"/>
        </w:rPr>
        <w:t>алан</w:t>
      </w:r>
      <w:r w:rsidR="00252E13" w:rsidRPr="00B204B8">
        <w:rPr>
          <w:sz w:val="28"/>
          <w:szCs w:val="28"/>
        </w:rPr>
        <w:t>а</w:t>
      </w:r>
    </w:p>
    <w:p w:rsidR="002726E6" w:rsidRPr="00B204B8" w:rsidRDefault="002726E6" w:rsidP="00FA5505">
      <w:pPr>
        <w:tabs>
          <w:tab w:val="num" w:pos="720"/>
        </w:tabs>
        <w:ind w:firstLine="709"/>
        <w:jc w:val="right"/>
        <w:rPr>
          <w:noProof/>
          <w:lang w:val="en-US" w:eastAsia="ru-RU"/>
        </w:rPr>
      </w:pPr>
    </w:p>
    <w:p w:rsidR="00392A6E" w:rsidRPr="00B204B8" w:rsidRDefault="00C46BD3" w:rsidP="00670696">
      <w:pPr>
        <w:rPr>
          <w:sz w:val="28"/>
          <w:szCs w:val="28"/>
          <w:lang w:val="en-US"/>
        </w:rPr>
      </w:pPr>
      <w:r w:rsidRPr="00B204B8">
        <w:rPr>
          <w:noProof/>
          <w:lang w:eastAsia="ru-RU"/>
        </w:rPr>
        <w:drawing>
          <wp:inline distT="0" distB="0" distL="0" distR="0" wp14:anchorId="6F42E65E" wp14:editId="748C85ED">
            <wp:extent cx="6114553" cy="4206240"/>
            <wp:effectExtent l="38100" t="57150" r="38735" b="4191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C46BD3" w:rsidRDefault="005717A5" w:rsidP="005717A5">
      <w:pPr>
        <w:ind w:firstLine="709"/>
        <w:jc w:val="center"/>
        <w:rPr>
          <w:sz w:val="28"/>
          <w:szCs w:val="28"/>
        </w:rPr>
      </w:pPr>
      <w:r>
        <w:rPr>
          <w:sz w:val="28"/>
          <w:szCs w:val="28"/>
        </w:rPr>
        <w:t>Рисунок 17</w:t>
      </w:r>
    </w:p>
    <w:p w:rsidR="002726E6" w:rsidRPr="00B204B8" w:rsidRDefault="002726E6" w:rsidP="002726E6">
      <w:pPr>
        <w:ind w:firstLine="709"/>
        <w:jc w:val="both"/>
        <w:rPr>
          <w:sz w:val="28"/>
          <w:szCs w:val="28"/>
        </w:rPr>
      </w:pPr>
      <w:r w:rsidRPr="00B204B8">
        <w:rPr>
          <w:sz w:val="28"/>
          <w:szCs w:val="28"/>
        </w:rPr>
        <w:lastRenderedPageBreak/>
        <w:t>В 201</w:t>
      </w:r>
      <w:r w:rsidR="004051F3" w:rsidRPr="00B204B8">
        <w:rPr>
          <w:sz w:val="28"/>
          <w:szCs w:val="28"/>
        </w:rPr>
        <w:t>4</w:t>
      </w:r>
      <w:r w:rsidRPr="00B204B8">
        <w:rPr>
          <w:sz w:val="28"/>
          <w:szCs w:val="28"/>
        </w:rPr>
        <w:t xml:space="preserve"> году в муниципальных образованиях Камчатского края продолжена работа по оптимизации бюджетного процесса и внедрению современных инструментов управления муниципальными финансами: расширена сфера применения программно-целевых методов бюджетного планирования, повышены качество и объем предоставляемых муниципальных услуг. </w:t>
      </w:r>
    </w:p>
    <w:p w:rsidR="002726E6" w:rsidRPr="00B204B8" w:rsidRDefault="002726E6" w:rsidP="002726E6">
      <w:pPr>
        <w:tabs>
          <w:tab w:val="num" w:pos="720"/>
        </w:tabs>
        <w:ind w:firstLine="709"/>
        <w:jc w:val="both"/>
        <w:rPr>
          <w:sz w:val="28"/>
          <w:szCs w:val="28"/>
        </w:rPr>
      </w:pPr>
      <w:r w:rsidRPr="00B204B8">
        <w:rPr>
          <w:sz w:val="28"/>
          <w:szCs w:val="28"/>
        </w:rPr>
        <w:tab/>
        <w:t>Все муниципальные образования</w:t>
      </w:r>
      <w:r w:rsidR="004051F3" w:rsidRPr="00B204B8">
        <w:rPr>
          <w:sz w:val="28"/>
          <w:szCs w:val="28"/>
        </w:rPr>
        <w:t xml:space="preserve"> </w:t>
      </w:r>
      <w:r w:rsidRPr="00B204B8">
        <w:rPr>
          <w:sz w:val="28"/>
          <w:szCs w:val="28"/>
        </w:rPr>
        <w:t>располагают утвержденной схемой территориального планирования.</w:t>
      </w:r>
    </w:p>
    <w:p w:rsidR="00571152" w:rsidRPr="00B204B8" w:rsidRDefault="00571152" w:rsidP="00571152">
      <w:pPr>
        <w:tabs>
          <w:tab w:val="num" w:pos="720"/>
        </w:tabs>
        <w:ind w:firstLine="709"/>
        <w:jc w:val="both"/>
        <w:rPr>
          <w:sz w:val="28"/>
          <w:szCs w:val="28"/>
        </w:rPr>
      </w:pPr>
      <w:r w:rsidRPr="00B204B8">
        <w:rPr>
          <w:sz w:val="28"/>
          <w:szCs w:val="28"/>
        </w:rPr>
        <w:t xml:space="preserve">Демографическая ситуация в Камчатском крае в течение последних лет характеризуется ежегодной убылью населения, связанной с миграционным оттоком. </w:t>
      </w:r>
    </w:p>
    <w:p w:rsidR="00571152" w:rsidRPr="00B204B8" w:rsidRDefault="00571152" w:rsidP="00571152">
      <w:pPr>
        <w:tabs>
          <w:tab w:val="num" w:pos="720"/>
        </w:tabs>
        <w:ind w:firstLine="709"/>
        <w:jc w:val="both"/>
        <w:rPr>
          <w:sz w:val="28"/>
          <w:szCs w:val="28"/>
        </w:rPr>
      </w:pPr>
      <w:r w:rsidRPr="00B204B8">
        <w:rPr>
          <w:sz w:val="28"/>
          <w:szCs w:val="28"/>
        </w:rPr>
        <w:t xml:space="preserve">Численность населения Камчатского края на конец 2014 года составила 317,3 тысяч человек. </w:t>
      </w:r>
    </w:p>
    <w:p w:rsidR="002726E6" w:rsidRPr="00B204B8" w:rsidRDefault="002726E6" w:rsidP="005E3293">
      <w:pPr>
        <w:ind w:firstLine="709"/>
        <w:jc w:val="both"/>
        <w:rPr>
          <w:sz w:val="28"/>
          <w:szCs w:val="28"/>
        </w:rPr>
      </w:pPr>
      <w:r w:rsidRPr="00B204B8">
        <w:rPr>
          <w:sz w:val="28"/>
          <w:szCs w:val="28"/>
        </w:rPr>
        <w:t xml:space="preserve">Среднегодовая численность постоянного населения в городских округах и муниципальных районах </w:t>
      </w:r>
      <w:r w:rsidR="00BD5F2F" w:rsidRPr="00B204B8">
        <w:rPr>
          <w:sz w:val="28"/>
          <w:szCs w:val="28"/>
        </w:rPr>
        <w:t>в</w:t>
      </w:r>
      <w:r w:rsidRPr="00B204B8">
        <w:rPr>
          <w:sz w:val="28"/>
          <w:szCs w:val="28"/>
        </w:rPr>
        <w:t xml:space="preserve"> 201</w:t>
      </w:r>
      <w:r w:rsidR="004051F3" w:rsidRPr="00B204B8">
        <w:rPr>
          <w:sz w:val="28"/>
          <w:szCs w:val="28"/>
        </w:rPr>
        <w:t>4</w:t>
      </w:r>
      <w:r w:rsidRPr="00B204B8">
        <w:rPr>
          <w:sz w:val="28"/>
          <w:szCs w:val="28"/>
        </w:rPr>
        <w:t xml:space="preserve"> год</w:t>
      </w:r>
      <w:r w:rsidR="00B76892" w:rsidRPr="00B204B8">
        <w:rPr>
          <w:sz w:val="28"/>
          <w:szCs w:val="28"/>
        </w:rPr>
        <w:t>а</w:t>
      </w:r>
      <w:r w:rsidR="00124249" w:rsidRPr="00B204B8">
        <w:rPr>
          <w:sz w:val="28"/>
          <w:szCs w:val="28"/>
        </w:rPr>
        <w:t xml:space="preserve"> </w:t>
      </w:r>
      <w:r w:rsidRPr="00B204B8">
        <w:rPr>
          <w:sz w:val="28"/>
          <w:szCs w:val="28"/>
        </w:rPr>
        <w:t>составила:</w:t>
      </w:r>
    </w:p>
    <w:p w:rsidR="002726E6" w:rsidRPr="00B204B8" w:rsidRDefault="002726E6" w:rsidP="002726E6">
      <w:pPr>
        <w:tabs>
          <w:tab w:val="num" w:pos="720"/>
        </w:tabs>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6"/>
        <w:gridCol w:w="2316"/>
        <w:gridCol w:w="2316"/>
        <w:gridCol w:w="2316"/>
      </w:tblGrid>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Муниципальные районы</w:t>
            </w:r>
          </w:p>
        </w:tc>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Тысяч человек</w:t>
            </w:r>
          </w:p>
        </w:tc>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Городские округа</w:t>
            </w:r>
          </w:p>
        </w:tc>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Тысяч человек</w:t>
            </w: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Алеутский</w:t>
            </w:r>
            <w:r w:rsidRPr="00B204B8">
              <w:rPr>
                <w:sz w:val="28"/>
                <w:szCs w:val="28"/>
              </w:rPr>
              <w:tab/>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0,</w:t>
            </w:r>
            <w:r w:rsidR="00BD5F2F" w:rsidRPr="00B204B8">
              <w:rPr>
                <w:sz w:val="28"/>
                <w:szCs w:val="28"/>
              </w:rPr>
              <w:t>67</w:t>
            </w:r>
            <w:r w:rsidRPr="00B204B8">
              <w:rPr>
                <w:sz w:val="28"/>
                <w:szCs w:val="28"/>
              </w:rPr>
              <w:tab/>
            </w:r>
          </w:p>
        </w:tc>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Петропавловск-Камчатский</w:t>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18</w:t>
            </w:r>
            <w:r w:rsidR="00BD5F2F" w:rsidRPr="00B204B8">
              <w:rPr>
                <w:sz w:val="28"/>
                <w:szCs w:val="28"/>
              </w:rPr>
              <w:t>1</w:t>
            </w:r>
            <w:r w:rsidR="00B76892" w:rsidRPr="00B204B8">
              <w:rPr>
                <w:sz w:val="28"/>
                <w:szCs w:val="28"/>
              </w:rPr>
              <w:t>,</w:t>
            </w:r>
            <w:r w:rsidR="00BD5F2F" w:rsidRPr="00B204B8">
              <w:rPr>
                <w:sz w:val="28"/>
                <w:szCs w:val="28"/>
              </w:rPr>
              <w:t>86</w:t>
            </w:r>
            <w:r w:rsidRPr="00B204B8">
              <w:rPr>
                <w:sz w:val="28"/>
                <w:szCs w:val="28"/>
              </w:rPr>
              <w:tab/>
            </w:r>
            <w:r w:rsidRPr="00B204B8">
              <w:rPr>
                <w:sz w:val="28"/>
                <w:szCs w:val="28"/>
              </w:rPr>
              <w:tab/>
            </w: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Быстринский</w:t>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2,4</w:t>
            </w:r>
            <w:r w:rsidR="00BD5F2F" w:rsidRPr="00B204B8">
              <w:rPr>
                <w:sz w:val="28"/>
                <w:szCs w:val="28"/>
              </w:rPr>
              <w:t>2</w:t>
            </w:r>
          </w:p>
        </w:tc>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Вилючинский</w:t>
            </w:r>
          </w:p>
        </w:tc>
        <w:tc>
          <w:tcPr>
            <w:tcW w:w="2316" w:type="dxa"/>
            <w:shd w:val="clear" w:color="auto" w:fill="auto"/>
          </w:tcPr>
          <w:p w:rsidR="002726E6" w:rsidRPr="00B204B8" w:rsidRDefault="006A0553" w:rsidP="00BD5F2F">
            <w:pPr>
              <w:tabs>
                <w:tab w:val="num" w:pos="720"/>
              </w:tabs>
              <w:jc w:val="both"/>
              <w:rPr>
                <w:sz w:val="28"/>
                <w:szCs w:val="28"/>
              </w:rPr>
            </w:pPr>
            <w:r w:rsidRPr="00B204B8">
              <w:rPr>
                <w:sz w:val="28"/>
                <w:szCs w:val="28"/>
              </w:rPr>
              <w:t>21,</w:t>
            </w:r>
            <w:r w:rsidR="00BD5F2F" w:rsidRPr="00B204B8">
              <w:rPr>
                <w:sz w:val="28"/>
                <w:szCs w:val="28"/>
              </w:rPr>
              <w:t>6</w:t>
            </w:r>
            <w:r w:rsidRPr="00B204B8">
              <w:rPr>
                <w:sz w:val="28"/>
                <w:szCs w:val="28"/>
              </w:rPr>
              <w:t>8</w:t>
            </w: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Елизовский</w:t>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63,</w:t>
            </w:r>
            <w:r w:rsidR="00BD5F2F" w:rsidRPr="00B204B8">
              <w:rPr>
                <w:sz w:val="28"/>
                <w:szCs w:val="28"/>
              </w:rPr>
              <w:t>59</w:t>
            </w:r>
          </w:p>
        </w:tc>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п. Палана</w:t>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3,</w:t>
            </w:r>
            <w:r w:rsidR="00BD5F2F" w:rsidRPr="00B204B8">
              <w:rPr>
                <w:sz w:val="28"/>
                <w:szCs w:val="28"/>
              </w:rPr>
              <w:t>03</w:t>
            </w: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Мильковский</w:t>
            </w:r>
          </w:p>
        </w:tc>
        <w:tc>
          <w:tcPr>
            <w:tcW w:w="2316" w:type="dxa"/>
            <w:shd w:val="clear" w:color="auto" w:fill="auto"/>
          </w:tcPr>
          <w:p w:rsidR="002726E6" w:rsidRPr="00B204B8" w:rsidRDefault="00BD5F2F" w:rsidP="00BD5F2F">
            <w:pPr>
              <w:tabs>
                <w:tab w:val="num" w:pos="720"/>
              </w:tabs>
              <w:jc w:val="both"/>
              <w:rPr>
                <w:sz w:val="28"/>
                <w:szCs w:val="28"/>
              </w:rPr>
            </w:pPr>
            <w:r w:rsidRPr="00B204B8">
              <w:rPr>
                <w:sz w:val="28"/>
                <w:szCs w:val="28"/>
              </w:rPr>
              <w:t>9</w:t>
            </w:r>
            <w:r w:rsidR="002726E6" w:rsidRPr="00B204B8">
              <w:rPr>
                <w:sz w:val="28"/>
                <w:szCs w:val="28"/>
              </w:rPr>
              <w:t>,</w:t>
            </w:r>
            <w:r w:rsidRPr="00B204B8">
              <w:rPr>
                <w:sz w:val="28"/>
                <w:szCs w:val="28"/>
              </w:rPr>
              <w:t>99</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Соболевский</w:t>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2,</w:t>
            </w:r>
            <w:r w:rsidR="00B76892" w:rsidRPr="00B204B8">
              <w:rPr>
                <w:sz w:val="28"/>
                <w:szCs w:val="28"/>
              </w:rPr>
              <w:t>5</w:t>
            </w:r>
            <w:r w:rsidR="00BD5F2F" w:rsidRPr="00B204B8">
              <w:rPr>
                <w:sz w:val="28"/>
                <w:szCs w:val="28"/>
              </w:rPr>
              <w:t>3</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Усть-Большерецкий</w:t>
            </w:r>
          </w:p>
        </w:tc>
        <w:tc>
          <w:tcPr>
            <w:tcW w:w="2316" w:type="dxa"/>
            <w:shd w:val="clear" w:color="auto" w:fill="auto"/>
          </w:tcPr>
          <w:p w:rsidR="002726E6" w:rsidRPr="00B204B8" w:rsidRDefault="00BD5F2F" w:rsidP="00CC1A76">
            <w:pPr>
              <w:tabs>
                <w:tab w:val="num" w:pos="720"/>
              </w:tabs>
              <w:jc w:val="both"/>
              <w:rPr>
                <w:sz w:val="28"/>
                <w:szCs w:val="28"/>
              </w:rPr>
            </w:pPr>
            <w:r w:rsidRPr="00B204B8">
              <w:rPr>
                <w:sz w:val="28"/>
                <w:szCs w:val="28"/>
              </w:rPr>
              <w:t>7,97</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Усть-Камчатский</w:t>
            </w:r>
          </w:p>
        </w:tc>
        <w:tc>
          <w:tcPr>
            <w:tcW w:w="2316" w:type="dxa"/>
            <w:shd w:val="clear" w:color="auto" w:fill="auto"/>
          </w:tcPr>
          <w:p w:rsidR="002726E6" w:rsidRPr="00B204B8" w:rsidRDefault="00BD5F2F" w:rsidP="00CC1A76">
            <w:pPr>
              <w:tabs>
                <w:tab w:val="num" w:pos="720"/>
              </w:tabs>
              <w:jc w:val="both"/>
              <w:rPr>
                <w:sz w:val="28"/>
                <w:szCs w:val="28"/>
              </w:rPr>
            </w:pPr>
            <w:r w:rsidRPr="00B204B8">
              <w:rPr>
                <w:sz w:val="28"/>
                <w:szCs w:val="28"/>
              </w:rPr>
              <w:t>10,50</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Карагинский</w:t>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3,</w:t>
            </w:r>
            <w:r w:rsidR="00BD5F2F" w:rsidRPr="00B204B8">
              <w:rPr>
                <w:sz w:val="28"/>
                <w:szCs w:val="28"/>
              </w:rPr>
              <w:t>85</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Олюторский</w:t>
            </w:r>
          </w:p>
        </w:tc>
        <w:tc>
          <w:tcPr>
            <w:tcW w:w="2316" w:type="dxa"/>
            <w:shd w:val="clear" w:color="auto" w:fill="auto"/>
          </w:tcPr>
          <w:p w:rsidR="002726E6" w:rsidRPr="00B204B8" w:rsidRDefault="00B76892" w:rsidP="00BD5F2F">
            <w:pPr>
              <w:tabs>
                <w:tab w:val="num" w:pos="720"/>
              </w:tabs>
              <w:jc w:val="both"/>
              <w:rPr>
                <w:sz w:val="28"/>
                <w:szCs w:val="28"/>
              </w:rPr>
            </w:pPr>
            <w:r w:rsidRPr="00B204B8">
              <w:rPr>
                <w:sz w:val="28"/>
                <w:szCs w:val="28"/>
              </w:rPr>
              <w:t>4,</w:t>
            </w:r>
            <w:r w:rsidR="00BD5F2F" w:rsidRPr="00B204B8">
              <w:rPr>
                <w:sz w:val="28"/>
                <w:szCs w:val="28"/>
              </w:rPr>
              <w:t>28</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r w:rsidR="009B1DE7"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Пенжинский</w:t>
            </w:r>
          </w:p>
        </w:tc>
        <w:tc>
          <w:tcPr>
            <w:tcW w:w="2316" w:type="dxa"/>
            <w:shd w:val="clear" w:color="auto" w:fill="auto"/>
          </w:tcPr>
          <w:p w:rsidR="002726E6" w:rsidRPr="00B204B8" w:rsidRDefault="002726E6" w:rsidP="00BD5F2F">
            <w:pPr>
              <w:tabs>
                <w:tab w:val="num" w:pos="720"/>
              </w:tabs>
              <w:jc w:val="both"/>
              <w:rPr>
                <w:sz w:val="28"/>
                <w:szCs w:val="28"/>
              </w:rPr>
            </w:pPr>
            <w:r w:rsidRPr="00B204B8">
              <w:rPr>
                <w:sz w:val="28"/>
                <w:szCs w:val="28"/>
              </w:rPr>
              <w:t>2,</w:t>
            </w:r>
            <w:r w:rsidR="00B76892" w:rsidRPr="00B204B8">
              <w:rPr>
                <w:sz w:val="28"/>
                <w:szCs w:val="28"/>
              </w:rPr>
              <w:t>2</w:t>
            </w:r>
            <w:r w:rsidR="00BD5F2F" w:rsidRPr="00B204B8">
              <w:rPr>
                <w:sz w:val="28"/>
                <w:szCs w:val="28"/>
              </w:rPr>
              <w:t>6</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r w:rsidR="004D5A7B" w:rsidRPr="00B204B8" w:rsidTr="001926F1">
        <w:tc>
          <w:tcPr>
            <w:tcW w:w="2316" w:type="dxa"/>
            <w:shd w:val="clear" w:color="auto" w:fill="auto"/>
          </w:tcPr>
          <w:p w:rsidR="002726E6" w:rsidRPr="00B204B8" w:rsidRDefault="002726E6" w:rsidP="001926F1">
            <w:pPr>
              <w:tabs>
                <w:tab w:val="num" w:pos="720"/>
              </w:tabs>
              <w:jc w:val="both"/>
              <w:rPr>
                <w:sz w:val="28"/>
                <w:szCs w:val="28"/>
              </w:rPr>
            </w:pPr>
            <w:r w:rsidRPr="00B204B8">
              <w:rPr>
                <w:sz w:val="28"/>
                <w:szCs w:val="28"/>
              </w:rPr>
              <w:t>Тигильский</w:t>
            </w:r>
          </w:p>
        </w:tc>
        <w:tc>
          <w:tcPr>
            <w:tcW w:w="2316" w:type="dxa"/>
            <w:shd w:val="clear" w:color="auto" w:fill="auto"/>
          </w:tcPr>
          <w:p w:rsidR="002726E6" w:rsidRPr="00B204B8" w:rsidRDefault="00BD5F2F" w:rsidP="00B76892">
            <w:pPr>
              <w:tabs>
                <w:tab w:val="num" w:pos="720"/>
              </w:tabs>
              <w:jc w:val="both"/>
              <w:rPr>
                <w:sz w:val="28"/>
                <w:szCs w:val="28"/>
              </w:rPr>
            </w:pPr>
            <w:r w:rsidRPr="00B204B8">
              <w:rPr>
                <w:sz w:val="28"/>
                <w:szCs w:val="28"/>
              </w:rPr>
              <w:t>3,96</w:t>
            </w:r>
          </w:p>
        </w:tc>
        <w:tc>
          <w:tcPr>
            <w:tcW w:w="2316" w:type="dxa"/>
            <w:shd w:val="clear" w:color="auto" w:fill="auto"/>
          </w:tcPr>
          <w:p w:rsidR="002726E6" w:rsidRPr="00B204B8" w:rsidRDefault="002726E6" w:rsidP="001926F1">
            <w:pPr>
              <w:tabs>
                <w:tab w:val="num" w:pos="720"/>
              </w:tabs>
              <w:jc w:val="both"/>
              <w:rPr>
                <w:sz w:val="28"/>
                <w:szCs w:val="28"/>
              </w:rPr>
            </w:pPr>
          </w:p>
        </w:tc>
        <w:tc>
          <w:tcPr>
            <w:tcW w:w="2316" w:type="dxa"/>
            <w:shd w:val="clear" w:color="auto" w:fill="auto"/>
          </w:tcPr>
          <w:p w:rsidR="002726E6" w:rsidRPr="00B204B8" w:rsidRDefault="002726E6" w:rsidP="001926F1">
            <w:pPr>
              <w:tabs>
                <w:tab w:val="num" w:pos="720"/>
              </w:tabs>
              <w:jc w:val="both"/>
              <w:rPr>
                <w:sz w:val="28"/>
                <w:szCs w:val="28"/>
              </w:rPr>
            </w:pPr>
          </w:p>
        </w:tc>
      </w:tr>
    </w:tbl>
    <w:p w:rsidR="00571152" w:rsidRPr="00B204B8" w:rsidRDefault="00571152" w:rsidP="00571152">
      <w:pPr>
        <w:tabs>
          <w:tab w:val="num" w:pos="720"/>
        </w:tabs>
        <w:ind w:firstLine="709"/>
        <w:jc w:val="both"/>
        <w:rPr>
          <w:sz w:val="28"/>
          <w:szCs w:val="28"/>
        </w:rPr>
      </w:pPr>
    </w:p>
    <w:p w:rsidR="00571152" w:rsidRPr="00B204B8" w:rsidRDefault="00571152" w:rsidP="00571152">
      <w:pPr>
        <w:tabs>
          <w:tab w:val="num" w:pos="720"/>
        </w:tabs>
        <w:ind w:firstLine="709"/>
        <w:jc w:val="both"/>
        <w:rPr>
          <w:sz w:val="28"/>
          <w:szCs w:val="28"/>
        </w:rPr>
      </w:pPr>
      <w:r w:rsidRPr="00B204B8">
        <w:rPr>
          <w:sz w:val="28"/>
          <w:szCs w:val="28"/>
        </w:rPr>
        <w:t>В 2014 году отмечен рекордный уровень рождаемости за последние 22 года – 4 206 малышей, это на 46 младенцев больше, чем в 2013 году. На каждую 1000 населения в 2014 году приходилось 13,2 рождений – максимальное значение за последние 25 лет.</w:t>
      </w:r>
    </w:p>
    <w:p w:rsidR="00571152" w:rsidRPr="00B204B8" w:rsidRDefault="00571152" w:rsidP="00571152">
      <w:pPr>
        <w:tabs>
          <w:tab w:val="num" w:pos="720"/>
        </w:tabs>
        <w:ind w:firstLine="709"/>
        <w:jc w:val="both"/>
        <w:rPr>
          <w:sz w:val="28"/>
          <w:szCs w:val="28"/>
        </w:rPr>
      </w:pPr>
      <w:r w:rsidRPr="00B204B8">
        <w:rPr>
          <w:sz w:val="28"/>
          <w:szCs w:val="28"/>
        </w:rPr>
        <w:t>Естественный прирост населения отмечен в</w:t>
      </w:r>
      <w:r w:rsidR="00205A4D">
        <w:rPr>
          <w:sz w:val="28"/>
          <w:szCs w:val="28"/>
        </w:rPr>
        <w:t xml:space="preserve"> городских округах</w:t>
      </w:r>
      <w:r w:rsidR="009031F6">
        <w:rPr>
          <w:sz w:val="28"/>
          <w:szCs w:val="28"/>
        </w:rPr>
        <w:t xml:space="preserve"> -</w:t>
      </w:r>
      <w:r w:rsidRPr="00B204B8">
        <w:rPr>
          <w:sz w:val="28"/>
          <w:szCs w:val="28"/>
        </w:rPr>
        <w:t xml:space="preserve"> Петропавловск-Камчатском</w:t>
      </w:r>
      <w:r w:rsidR="00205A4D">
        <w:rPr>
          <w:sz w:val="28"/>
          <w:szCs w:val="28"/>
        </w:rPr>
        <w:t xml:space="preserve"> и Вилючинском; муниципальных районах</w:t>
      </w:r>
      <w:r w:rsidR="009031F6">
        <w:rPr>
          <w:sz w:val="28"/>
          <w:szCs w:val="28"/>
        </w:rPr>
        <w:t xml:space="preserve"> -</w:t>
      </w:r>
      <w:r w:rsidRPr="00B204B8">
        <w:rPr>
          <w:sz w:val="28"/>
          <w:szCs w:val="28"/>
        </w:rPr>
        <w:t xml:space="preserve"> Елизовском, Быстринском, Пенжинском. </w:t>
      </w:r>
    </w:p>
    <w:p w:rsidR="00FA5505" w:rsidRDefault="00571152" w:rsidP="00571152">
      <w:pPr>
        <w:tabs>
          <w:tab w:val="num" w:pos="720"/>
        </w:tabs>
        <w:ind w:firstLine="709"/>
        <w:jc w:val="both"/>
        <w:rPr>
          <w:sz w:val="28"/>
          <w:szCs w:val="28"/>
        </w:rPr>
      </w:pPr>
      <w:r w:rsidRPr="00B204B8">
        <w:rPr>
          <w:sz w:val="28"/>
          <w:szCs w:val="28"/>
        </w:rPr>
        <w:t xml:space="preserve">В муниципальных районах края уровень рождаемости имеет различную интенсивность. Максимальный уровень отмечен в Пенжинском муниципальном районе (19,5 рождений на 1 000 человек населения), минимальный – в Алеутском муниципальном районе (4,5 рождений на 1 000 </w:t>
      </w:r>
      <w:r w:rsidRPr="00B204B8">
        <w:rPr>
          <w:sz w:val="28"/>
          <w:szCs w:val="28"/>
        </w:rPr>
        <w:lastRenderedPageBreak/>
        <w:t>человек населения). Все районы Корякского округа в 2014 году имеют уровень рождаемости выше среднекраевого.</w:t>
      </w:r>
    </w:p>
    <w:p w:rsidR="002726E6" w:rsidRPr="00B204B8" w:rsidRDefault="002726E6" w:rsidP="002726E6">
      <w:pPr>
        <w:tabs>
          <w:tab w:val="num" w:pos="720"/>
        </w:tabs>
        <w:jc w:val="both"/>
        <w:rPr>
          <w:sz w:val="28"/>
          <w:szCs w:val="28"/>
        </w:rPr>
      </w:pPr>
    </w:p>
    <w:p w:rsidR="002726E6" w:rsidRPr="00B204B8" w:rsidRDefault="007B3B7B" w:rsidP="002726E6">
      <w:pPr>
        <w:tabs>
          <w:tab w:val="num" w:pos="720"/>
        </w:tabs>
        <w:ind w:firstLine="709"/>
        <w:jc w:val="center"/>
        <w:rPr>
          <w:b/>
          <w:sz w:val="28"/>
          <w:szCs w:val="28"/>
        </w:rPr>
      </w:pPr>
      <w:r w:rsidRPr="00B204B8">
        <w:rPr>
          <w:b/>
          <w:sz w:val="28"/>
          <w:szCs w:val="28"/>
        </w:rPr>
        <w:t>9</w:t>
      </w:r>
      <w:r w:rsidR="002726E6" w:rsidRPr="00B204B8">
        <w:rPr>
          <w:b/>
          <w:sz w:val="28"/>
          <w:szCs w:val="28"/>
        </w:rPr>
        <w:t>. Энергосбережение и повышение энергетической эффективности</w:t>
      </w:r>
    </w:p>
    <w:p w:rsidR="00BA2AFD" w:rsidRPr="00B204B8" w:rsidRDefault="00BA2AFD" w:rsidP="002726E6">
      <w:pPr>
        <w:tabs>
          <w:tab w:val="num" w:pos="720"/>
        </w:tabs>
        <w:ind w:firstLine="709"/>
        <w:jc w:val="center"/>
        <w:rPr>
          <w:b/>
          <w:sz w:val="28"/>
          <w:szCs w:val="28"/>
        </w:rPr>
      </w:pPr>
    </w:p>
    <w:p w:rsidR="0087233A" w:rsidRDefault="0087233A" w:rsidP="00787D44">
      <w:pPr>
        <w:ind w:firstLine="709"/>
        <w:jc w:val="both"/>
        <w:rPr>
          <w:sz w:val="28"/>
          <w:szCs w:val="28"/>
        </w:rPr>
      </w:pPr>
      <w:r w:rsidRPr="00B204B8">
        <w:rPr>
          <w:sz w:val="28"/>
          <w:szCs w:val="28"/>
        </w:rPr>
        <w:t>Существующая энерг</w:t>
      </w:r>
      <w:r w:rsidR="00C2239E">
        <w:rPr>
          <w:sz w:val="28"/>
          <w:szCs w:val="28"/>
        </w:rPr>
        <w:t xml:space="preserve">осистема </w:t>
      </w:r>
      <w:r w:rsidRPr="00B204B8">
        <w:rPr>
          <w:sz w:val="28"/>
          <w:szCs w:val="28"/>
        </w:rPr>
        <w:t>Камчатского края</w:t>
      </w:r>
      <w:r w:rsidR="00C2239E">
        <w:rPr>
          <w:sz w:val="28"/>
          <w:szCs w:val="28"/>
        </w:rPr>
        <w:t xml:space="preserve"> по своему территориальному положению является изолированным энергетическим узлом, в который входят 28 изолированных энергоузлов с высокой степенью генерации электроэнергии, </w:t>
      </w:r>
      <w:r w:rsidR="00C2239E" w:rsidRPr="00C2239E">
        <w:rPr>
          <w:sz w:val="28"/>
          <w:szCs w:val="28"/>
        </w:rPr>
        <w:t>и</w:t>
      </w:r>
      <w:r w:rsidRPr="00C2239E">
        <w:rPr>
          <w:sz w:val="28"/>
          <w:szCs w:val="28"/>
        </w:rPr>
        <w:t xml:space="preserve"> характеризуется</w:t>
      </w:r>
      <w:r w:rsidRPr="00B204B8">
        <w:rPr>
          <w:sz w:val="28"/>
          <w:szCs w:val="28"/>
        </w:rPr>
        <w:t>:</w:t>
      </w:r>
    </w:p>
    <w:p w:rsidR="0087233A" w:rsidRPr="00B204B8" w:rsidRDefault="0087233A" w:rsidP="00787D44">
      <w:pPr>
        <w:ind w:firstLine="709"/>
        <w:jc w:val="both"/>
        <w:rPr>
          <w:sz w:val="28"/>
          <w:szCs w:val="28"/>
        </w:rPr>
      </w:pPr>
      <w:r w:rsidRPr="00B204B8">
        <w:rPr>
          <w:sz w:val="28"/>
          <w:szCs w:val="28"/>
        </w:rPr>
        <w:t xml:space="preserve">- </w:t>
      </w:r>
      <w:r w:rsidR="00945071" w:rsidRPr="00B204B8">
        <w:rPr>
          <w:sz w:val="28"/>
          <w:szCs w:val="28"/>
        </w:rPr>
        <w:t>изолированность</w:t>
      </w:r>
      <w:r w:rsidRPr="00B204B8">
        <w:rPr>
          <w:sz w:val="28"/>
          <w:szCs w:val="28"/>
        </w:rPr>
        <w:t>ю</w:t>
      </w:r>
      <w:r w:rsidR="00945071" w:rsidRPr="00B204B8">
        <w:rPr>
          <w:sz w:val="28"/>
          <w:szCs w:val="28"/>
        </w:rPr>
        <w:t xml:space="preserve"> от </w:t>
      </w:r>
      <w:r w:rsidR="00787D44" w:rsidRPr="00B204B8">
        <w:rPr>
          <w:sz w:val="28"/>
          <w:szCs w:val="28"/>
        </w:rPr>
        <w:t>оптового рынка электрической энергии</w:t>
      </w:r>
      <w:r w:rsidR="0079740E">
        <w:rPr>
          <w:sz w:val="28"/>
          <w:szCs w:val="28"/>
        </w:rPr>
        <w:t xml:space="preserve"> Российской Федерации</w:t>
      </w:r>
      <w:r w:rsidRPr="00B204B8">
        <w:rPr>
          <w:sz w:val="28"/>
          <w:szCs w:val="28"/>
        </w:rPr>
        <w:t>;</w:t>
      </w:r>
    </w:p>
    <w:p w:rsidR="000726CA" w:rsidRPr="00B204B8" w:rsidRDefault="00A9571D" w:rsidP="00787D44">
      <w:pPr>
        <w:ind w:firstLine="709"/>
        <w:jc w:val="both"/>
        <w:rPr>
          <w:sz w:val="28"/>
          <w:szCs w:val="28"/>
        </w:rPr>
      </w:pPr>
      <w:r>
        <w:rPr>
          <w:sz w:val="28"/>
          <w:szCs w:val="28"/>
        </w:rPr>
        <w:t xml:space="preserve">- функционированием </w:t>
      </w:r>
      <w:r w:rsidR="000726CA" w:rsidRPr="00B204B8">
        <w:rPr>
          <w:sz w:val="28"/>
          <w:szCs w:val="28"/>
        </w:rPr>
        <w:t>в сложных природно-климатических</w:t>
      </w:r>
      <w:r w:rsidR="00A05C71">
        <w:rPr>
          <w:sz w:val="28"/>
          <w:szCs w:val="28"/>
        </w:rPr>
        <w:t xml:space="preserve"> и географических</w:t>
      </w:r>
      <w:r w:rsidR="000726CA" w:rsidRPr="00B204B8">
        <w:rPr>
          <w:sz w:val="28"/>
          <w:szCs w:val="28"/>
        </w:rPr>
        <w:t xml:space="preserve"> условиях;</w:t>
      </w:r>
    </w:p>
    <w:p w:rsidR="000726CA" w:rsidRPr="00B204B8" w:rsidRDefault="0087233A" w:rsidP="00787D44">
      <w:pPr>
        <w:ind w:firstLine="709"/>
        <w:jc w:val="both"/>
        <w:rPr>
          <w:sz w:val="28"/>
          <w:szCs w:val="28"/>
        </w:rPr>
      </w:pPr>
      <w:r w:rsidRPr="00B204B8">
        <w:rPr>
          <w:sz w:val="28"/>
          <w:szCs w:val="28"/>
        </w:rPr>
        <w:t xml:space="preserve">- </w:t>
      </w:r>
      <w:r w:rsidR="00787D44" w:rsidRPr="00B204B8">
        <w:rPr>
          <w:sz w:val="28"/>
          <w:szCs w:val="28"/>
        </w:rPr>
        <w:t>высокими тарифами на тепловую и электрическую энергию</w:t>
      </w:r>
      <w:r w:rsidR="000726CA" w:rsidRPr="00B204B8">
        <w:rPr>
          <w:sz w:val="28"/>
          <w:szCs w:val="28"/>
        </w:rPr>
        <w:t>;</w:t>
      </w:r>
    </w:p>
    <w:p w:rsidR="000726CA" w:rsidRPr="00B204B8" w:rsidRDefault="000726CA" w:rsidP="00787D44">
      <w:pPr>
        <w:ind w:firstLine="709"/>
        <w:jc w:val="both"/>
        <w:rPr>
          <w:sz w:val="28"/>
          <w:szCs w:val="28"/>
        </w:rPr>
      </w:pPr>
      <w:r w:rsidRPr="00B204B8">
        <w:rPr>
          <w:sz w:val="28"/>
          <w:szCs w:val="28"/>
        </w:rPr>
        <w:t>-</w:t>
      </w:r>
      <w:r w:rsidR="00F36C70" w:rsidRPr="00B204B8">
        <w:rPr>
          <w:sz w:val="28"/>
          <w:szCs w:val="28"/>
        </w:rPr>
        <w:t xml:space="preserve"> </w:t>
      </w:r>
      <w:r w:rsidRPr="00B204B8">
        <w:rPr>
          <w:sz w:val="28"/>
          <w:szCs w:val="28"/>
        </w:rPr>
        <w:t>высокими показателями износа объекто</w:t>
      </w:r>
      <w:r w:rsidR="00192965" w:rsidRPr="00B204B8">
        <w:rPr>
          <w:sz w:val="28"/>
          <w:szCs w:val="28"/>
        </w:rPr>
        <w:t>в энергетической инфраструктуры;</w:t>
      </w:r>
    </w:p>
    <w:p w:rsidR="00192965" w:rsidRPr="00B204B8" w:rsidRDefault="00192965" w:rsidP="00192965">
      <w:pPr>
        <w:ind w:firstLine="709"/>
        <w:jc w:val="both"/>
        <w:rPr>
          <w:sz w:val="28"/>
          <w:szCs w:val="28"/>
        </w:rPr>
      </w:pPr>
      <w:r w:rsidRPr="00B204B8">
        <w:rPr>
          <w:sz w:val="28"/>
          <w:szCs w:val="28"/>
        </w:rPr>
        <w:t>- недостаточным уровнем использования местных источников энергии и возобновляемых энергоресурсов.</w:t>
      </w:r>
    </w:p>
    <w:p w:rsidR="00B23438" w:rsidRPr="00B204B8" w:rsidRDefault="00192965" w:rsidP="00787D44">
      <w:pPr>
        <w:ind w:firstLine="709"/>
        <w:jc w:val="both"/>
        <w:rPr>
          <w:sz w:val="28"/>
          <w:szCs w:val="28"/>
        </w:rPr>
      </w:pPr>
      <w:r w:rsidRPr="00B204B8">
        <w:rPr>
          <w:sz w:val="28"/>
          <w:szCs w:val="28"/>
        </w:rPr>
        <w:t xml:space="preserve">Зависимость теплоэнергетических предприятий от поставок энергоносителей создает напряженность в работе всего теплоэнергетического комплекса удаленных от административного центра районов полуострова, отвлекает значительные средства предприятий и краевого бюджета на опережающую оплату поставок энергоносителей. </w:t>
      </w:r>
      <w:r w:rsidR="00B23438" w:rsidRPr="00B204B8">
        <w:rPr>
          <w:sz w:val="28"/>
          <w:szCs w:val="28"/>
        </w:rPr>
        <w:t>Постоянное недофинансирование отрасли не дает возможность в полном объеме осуществить модернизацию топливно-энергетического комплекса, так как все средства расходуются в основном на ремонтные работы и на поддержание существующих технологических процессов.</w:t>
      </w:r>
    </w:p>
    <w:p w:rsidR="00B23438" w:rsidRPr="00B204B8" w:rsidRDefault="00B23438" w:rsidP="00787D44">
      <w:pPr>
        <w:ind w:firstLine="709"/>
        <w:jc w:val="both"/>
        <w:rPr>
          <w:sz w:val="28"/>
          <w:szCs w:val="28"/>
        </w:rPr>
      </w:pPr>
      <w:r w:rsidRPr="00B204B8">
        <w:rPr>
          <w:sz w:val="28"/>
          <w:szCs w:val="28"/>
        </w:rPr>
        <w:t xml:space="preserve">Высокая степень износа коммунальной инфраструктуры, ее низкий технический уровень снижает пропускную способность всех инженерных сетей и увеличивает расходы производителей и потребителей. </w:t>
      </w:r>
    </w:p>
    <w:p w:rsidR="0056788D" w:rsidRPr="00B204B8" w:rsidRDefault="00B23438" w:rsidP="00787D44">
      <w:pPr>
        <w:ind w:firstLine="709"/>
        <w:jc w:val="both"/>
        <w:rPr>
          <w:sz w:val="28"/>
          <w:szCs w:val="28"/>
        </w:rPr>
      </w:pPr>
      <w:r w:rsidRPr="00B204B8">
        <w:rPr>
          <w:sz w:val="28"/>
          <w:szCs w:val="28"/>
        </w:rPr>
        <w:t>Для достижения снижения расходов потребителей и улучшения качества поставляемых ресурсов в 2014 году администрациями городских округов и муниципальных районов в Камчатском крае проведена огромная работа по повышению энергетической эффективности, направленная на разработку, принятие и исполнение муниципальных программ в сфере топливно-энергетического комплекса</w:t>
      </w:r>
      <w:r w:rsidR="0056788D" w:rsidRPr="00B204B8">
        <w:rPr>
          <w:sz w:val="28"/>
          <w:szCs w:val="28"/>
        </w:rPr>
        <w:t xml:space="preserve">. </w:t>
      </w:r>
    </w:p>
    <w:p w:rsidR="0056788D" w:rsidRPr="00B204B8" w:rsidRDefault="0056788D" w:rsidP="00787D44">
      <w:pPr>
        <w:ind w:firstLine="709"/>
        <w:jc w:val="both"/>
        <w:rPr>
          <w:sz w:val="28"/>
          <w:szCs w:val="28"/>
        </w:rPr>
      </w:pPr>
      <w:r w:rsidRPr="00B204B8">
        <w:rPr>
          <w:sz w:val="28"/>
          <w:szCs w:val="28"/>
        </w:rPr>
        <w:t>В рамках реализации муниципальных программ в 2014 году выполнен ряд мероприятий:</w:t>
      </w:r>
    </w:p>
    <w:p w:rsidR="0056788D" w:rsidRPr="00B204B8" w:rsidRDefault="0056788D" w:rsidP="00787D44">
      <w:pPr>
        <w:ind w:firstLine="709"/>
        <w:jc w:val="both"/>
        <w:rPr>
          <w:sz w:val="28"/>
          <w:szCs w:val="28"/>
        </w:rPr>
      </w:pPr>
      <w:r w:rsidRPr="00B204B8">
        <w:rPr>
          <w:sz w:val="28"/>
          <w:szCs w:val="28"/>
        </w:rPr>
        <w:t>- замена ветхих и аварийных сетей;</w:t>
      </w:r>
    </w:p>
    <w:p w:rsidR="0056788D" w:rsidRPr="00B204B8" w:rsidRDefault="0056788D" w:rsidP="00787D44">
      <w:pPr>
        <w:ind w:firstLine="709"/>
        <w:jc w:val="both"/>
        <w:rPr>
          <w:sz w:val="28"/>
          <w:szCs w:val="28"/>
        </w:rPr>
      </w:pPr>
      <w:r w:rsidRPr="00B204B8">
        <w:rPr>
          <w:sz w:val="28"/>
          <w:szCs w:val="28"/>
        </w:rPr>
        <w:t xml:space="preserve">- переход на оплату коммунальных услуг населением на основе приборов учета ГВС, ХВС; </w:t>
      </w:r>
    </w:p>
    <w:p w:rsidR="0056788D" w:rsidRPr="00B204B8" w:rsidRDefault="0056788D" w:rsidP="00787D44">
      <w:pPr>
        <w:ind w:firstLine="709"/>
        <w:jc w:val="both"/>
        <w:rPr>
          <w:sz w:val="28"/>
          <w:szCs w:val="28"/>
        </w:rPr>
      </w:pPr>
      <w:r w:rsidRPr="00B204B8">
        <w:rPr>
          <w:sz w:val="28"/>
          <w:szCs w:val="28"/>
        </w:rPr>
        <w:t>- установка индивидуальных приборов учета малоимущим гражданам;</w:t>
      </w:r>
    </w:p>
    <w:p w:rsidR="00393A07" w:rsidRPr="00B204B8" w:rsidRDefault="0056788D" w:rsidP="00787D44">
      <w:pPr>
        <w:ind w:firstLine="709"/>
        <w:jc w:val="both"/>
        <w:rPr>
          <w:sz w:val="28"/>
          <w:szCs w:val="28"/>
        </w:rPr>
      </w:pPr>
      <w:r w:rsidRPr="00B204B8">
        <w:rPr>
          <w:sz w:val="28"/>
          <w:szCs w:val="28"/>
        </w:rPr>
        <w:t>- установка коллективных (общедомовых) приборов учета в многоквартирных домах</w:t>
      </w:r>
      <w:r w:rsidR="00393A07" w:rsidRPr="00B204B8">
        <w:rPr>
          <w:sz w:val="28"/>
          <w:szCs w:val="28"/>
        </w:rPr>
        <w:t>;</w:t>
      </w:r>
    </w:p>
    <w:p w:rsidR="00393A07" w:rsidRPr="00B204B8" w:rsidRDefault="00393A07" w:rsidP="00787D44">
      <w:pPr>
        <w:ind w:firstLine="709"/>
        <w:jc w:val="both"/>
        <w:rPr>
          <w:sz w:val="28"/>
          <w:szCs w:val="28"/>
        </w:rPr>
      </w:pPr>
      <w:r w:rsidRPr="00B204B8">
        <w:rPr>
          <w:sz w:val="28"/>
          <w:szCs w:val="28"/>
        </w:rPr>
        <w:lastRenderedPageBreak/>
        <w:t>- замена внутренних инженерных сетей на сети с низкой теплоотдачей;</w:t>
      </w:r>
    </w:p>
    <w:p w:rsidR="00393A07" w:rsidRPr="00B204B8" w:rsidRDefault="00393A07" w:rsidP="00787D44">
      <w:pPr>
        <w:ind w:firstLine="709"/>
        <w:jc w:val="both"/>
        <w:rPr>
          <w:sz w:val="28"/>
          <w:szCs w:val="28"/>
        </w:rPr>
      </w:pPr>
      <w:r w:rsidRPr="00B204B8">
        <w:rPr>
          <w:sz w:val="28"/>
          <w:szCs w:val="28"/>
        </w:rPr>
        <w:t>- внедрение энергосберегающих светильников, в том числе на базе светодиодов.</w:t>
      </w:r>
    </w:p>
    <w:p w:rsidR="00192965" w:rsidRPr="00B204B8" w:rsidRDefault="00393A07" w:rsidP="00787D44">
      <w:pPr>
        <w:ind w:firstLine="709"/>
        <w:jc w:val="both"/>
        <w:rPr>
          <w:sz w:val="28"/>
          <w:szCs w:val="28"/>
        </w:rPr>
      </w:pPr>
      <w:r w:rsidRPr="00B204B8">
        <w:rPr>
          <w:sz w:val="28"/>
          <w:szCs w:val="28"/>
        </w:rPr>
        <w:t>Выполнение вышеуказанных мероприятий позволит получить результаты в производственной, экономической и социальной сферах, снизить потери при производстве, транспортировке и использовании теплоэнергоресурсов, сэкономить средства собственников жилых помещений по оплате за коммунальные ресурсы, сократить расходы муниципальных образований на предоставление субсидий населению, обеспечить требуемое качество предоставления коммунальных услуг с учетом удовлетворения необходимых жизненных потребностей населения.</w:t>
      </w:r>
      <w:r w:rsidR="0056788D" w:rsidRPr="00B204B8">
        <w:rPr>
          <w:sz w:val="28"/>
          <w:szCs w:val="28"/>
        </w:rPr>
        <w:t xml:space="preserve"> </w:t>
      </w:r>
      <w:r w:rsidR="00B23438" w:rsidRPr="00B204B8">
        <w:rPr>
          <w:sz w:val="28"/>
          <w:szCs w:val="28"/>
        </w:rPr>
        <w:t xml:space="preserve">  </w:t>
      </w:r>
      <w:r w:rsidR="00192965" w:rsidRPr="00B204B8">
        <w:rPr>
          <w:sz w:val="28"/>
          <w:szCs w:val="28"/>
        </w:rPr>
        <w:t xml:space="preserve"> </w:t>
      </w:r>
    </w:p>
    <w:p w:rsidR="00A84094" w:rsidRDefault="00A84094" w:rsidP="00485179">
      <w:pPr>
        <w:ind w:firstLine="709"/>
        <w:jc w:val="both"/>
        <w:rPr>
          <w:sz w:val="28"/>
          <w:szCs w:val="28"/>
        </w:rPr>
      </w:pPr>
      <w:r w:rsidRPr="00B204B8">
        <w:rPr>
          <w:sz w:val="28"/>
          <w:szCs w:val="28"/>
        </w:rPr>
        <w:t>В 2014 году продолжилась реализация мероприятий Программы газификации Камчатского края, утвержденной распоряжением Правительства Камчатского края 24.06.2011 № 289-РП.</w:t>
      </w:r>
    </w:p>
    <w:p w:rsidR="00367C9B" w:rsidRPr="00B204B8" w:rsidRDefault="00367C9B" w:rsidP="00485179">
      <w:pPr>
        <w:ind w:firstLine="709"/>
        <w:jc w:val="both"/>
        <w:rPr>
          <w:sz w:val="28"/>
          <w:szCs w:val="28"/>
        </w:rPr>
      </w:pPr>
    </w:p>
    <w:p w:rsidR="00A84094" w:rsidRPr="00B204B8" w:rsidRDefault="00A84094" w:rsidP="00485179">
      <w:pPr>
        <w:ind w:firstLine="709"/>
        <w:jc w:val="both"/>
        <w:rPr>
          <w:sz w:val="28"/>
          <w:szCs w:val="28"/>
        </w:rPr>
      </w:pPr>
      <w:r w:rsidRPr="00B204B8">
        <w:rPr>
          <w:sz w:val="28"/>
          <w:szCs w:val="28"/>
        </w:rPr>
        <w:t>В рамках Программы газификации на 2014 год осуществлялось строительство следующих объектов:</w:t>
      </w:r>
    </w:p>
    <w:p w:rsidR="00A84094" w:rsidRPr="00B204B8" w:rsidRDefault="00A84094" w:rsidP="00485179">
      <w:pPr>
        <w:ind w:firstLine="709"/>
        <w:jc w:val="both"/>
        <w:rPr>
          <w:sz w:val="28"/>
          <w:szCs w:val="28"/>
        </w:rPr>
      </w:pPr>
      <w:r w:rsidRPr="00B204B8">
        <w:rPr>
          <w:sz w:val="28"/>
          <w:szCs w:val="28"/>
        </w:rPr>
        <w:t>1. Газопровод-отвод и ГРС Елизово Елизовского района;</w:t>
      </w:r>
    </w:p>
    <w:p w:rsidR="00A84094" w:rsidRPr="00B204B8" w:rsidRDefault="00A84094" w:rsidP="00485179">
      <w:pPr>
        <w:ind w:firstLine="709"/>
        <w:jc w:val="both"/>
        <w:rPr>
          <w:sz w:val="28"/>
          <w:szCs w:val="28"/>
        </w:rPr>
      </w:pPr>
      <w:r w:rsidRPr="00B204B8">
        <w:rPr>
          <w:sz w:val="28"/>
          <w:szCs w:val="28"/>
        </w:rPr>
        <w:t>2. Газопровод межпоселковый ГРС Елизово - г. Елизово (объекты теплоэнергетики) Елизовского района;</w:t>
      </w:r>
    </w:p>
    <w:p w:rsidR="00A84094" w:rsidRPr="00B204B8" w:rsidRDefault="00A84094" w:rsidP="00485179">
      <w:pPr>
        <w:ind w:firstLine="709"/>
        <w:jc w:val="both"/>
        <w:rPr>
          <w:sz w:val="28"/>
          <w:szCs w:val="28"/>
        </w:rPr>
      </w:pPr>
      <w:r w:rsidRPr="00B204B8">
        <w:rPr>
          <w:sz w:val="28"/>
          <w:szCs w:val="28"/>
        </w:rPr>
        <w:t>3. Газопровод межпоселковый до п. Двуречье - п. Красный - п. Нагорный - п. Новый - п. Пионерский - п. Светлый - п. Крутобереговый Елизовского района;</w:t>
      </w:r>
    </w:p>
    <w:p w:rsidR="00A84094" w:rsidRPr="00B204B8" w:rsidRDefault="00A84094" w:rsidP="00485179">
      <w:pPr>
        <w:ind w:firstLine="709"/>
        <w:jc w:val="both"/>
        <w:rPr>
          <w:sz w:val="28"/>
          <w:szCs w:val="28"/>
        </w:rPr>
      </w:pPr>
      <w:r w:rsidRPr="00B204B8">
        <w:rPr>
          <w:sz w:val="28"/>
          <w:szCs w:val="28"/>
        </w:rPr>
        <w:t xml:space="preserve">4. Газопровод межпоселковый от г. Елизово до р.п. Вулканный - </w:t>
      </w:r>
      <w:r w:rsidR="00B8203B" w:rsidRPr="00B204B8">
        <w:rPr>
          <w:sz w:val="28"/>
          <w:szCs w:val="28"/>
        </w:rPr>
        <w:br/>
      </w:r>
      <w:r w:rsidRPr="00B204B8">
        <w:rPr>
          <w:sz w:val="28"/>
          <w:szCs w:val="28"/>
        </w:rPr>
        <w:t>с. Сосновка - с. Николаевка Елизовского района.</w:t>
      </w:r>
    </w:p>
    <w:p w:rsidR="00F36C70" w:rsidRDefault="00F36C70" w:rsidP="00485179">
      <w:pPr>
        <w:ind w:firstLine="709"/>
        <w:jc w:val="both"/>
        <w:rPr>
          <w:sz w:val="28"/>
          <w:szCs w:val="28"/>
        </w:rPr>
      </w:pPr>
      <w:r w:rsidRPr="00B204B8">
        <w:rPr>
          <w:sz w:val="28"/>
          <w:szCs w:val="28"/>
        </w:rPr>
        <w:t>В крае успешно реализуется крупный инвестиционный проект «Обеспечение энергоснабжения изолированных территорий Камчатского края на основе возобновляемых источников энергии», инвестором которого выступает ОАО «РАО Энергетические системы Востока»/ОАО «Передвижная энергетика».</w:t>
      </w:r>
    </w:p>
    <w:p w:rsidR="00367C9B" w:rsidRPr="00B204B8" w:rsidRDefault="00F36C70" w:rsidP="00485179">
      <w:pPr>
        <w:ind w:firstLine="709"/>
        <w:jc w:val="both"/>
        <w:rPr>
          <w:sz w:val="28"/>
          <w:szCs w:val="28"/>
        </w:rPr>
      </w:pPr>
      <w:r w:rsidRPr="00B204B8">
        <w:rPr>
          <w:sz w:val="28"/>
          <w:szCs w:val="28"/>
        </w:rPr>
        <w:t xml:space="preserve">В 2014 году начато строительство ВЭС суммарной мощностью 900 кВт (3Х300 кВт) в п.Усть-Камчатск. 28 января 2015 первая  ВЭУ мощностью 300 кВт введена в эксплуатацию. </w:t>
      </w:r>
    </w:p>
    <w:p w:rsidR="00367C9B" w:rsidRDefault="002726E6" w:rsidP="002726E6">
      <w:pPr>
        <w:tabs>
          <w:tab w:val="num" w:pos="720"/>
        </w:tabs>
        <w:ind w:firstLine="709"/>
        <w:jc w:val="both"/>
        <w:rPr>
          <w:sz w:val="28"/>
          <w:szCs w:val="28"/>
        </w:rPr>
      </w:pPr>
      <w:r w:rsidRPr="00B204B8">
        <w:rPr>
          <w:sz w:val="28"/>
          <w:szCs w:val="28"/>
        </w:rPr>
        <w:t>По результатам оценки показателей эффективности деятельности органов местного самоуправления в сфере энергосбережения и повышения энергетической эффективности</w:t>
      </w:r>
      <w:r w:rsidR="00124249" w:rsidRPr="00B204B8">
        <w:rPr>
          <w:sz w:val="28"/>
          <w:szCs w:val="28"/>
        </w:rPr>
        <w:t xml:space="preserve"> </w:t>
      </w:r>
      <w:r w:rsidRPr="00B204B8">
        <w:rPr>
          <w:sz w:val="28"/>
          <w:szCs w:val="28"/>
        </w:rPr>
        <w:t>наивысшую эффективность показали следующие</w:t>
      </w:r>
      <w:r w:rsidR="00124249" w:rsidRPr="00B204B8">
        <w:rPr>
          <w:sz w:val="28"/>
          <w:szCs w:val="28"/>
        </w:rPr>
        <w:t xml:space="preserve"> </w:t>
      </w:r>
      <w:r w:rsidRPr="00B204B8">
        <w:rPr>
          <w:sz w:val="28"/>
          <w:szCs w:val="28"/>
        </w:rPr>
        <w:t xml:space="preserve">муниципальные образования (рисунок </w:t>
      </w:r>
      <w:r w:rsidR="005D4155">
        <w:rPr>
          <w:sz w:val="28"/>
          <w:szCs w:val="28"/>
        </w:rPr>
        <w:t>18, 19</w:t>
      </w:r>
      <w:r w:rsidRPr="00B204B8">
        <w:rPr>
          <w:sz w:val="28"/>
          <w:szCs w:val="28"/>
        </w:rPr>
        <w:t>):</w:t>
      </w:r>
    </w:p>
    <w:p w:rsidR="002726E6" w:rsidRPr="00B204B8" w:rsidRDefault="002726E6" w:rsidP="002726E6">
      <w:pPr>
        <w:tabs>
          <w:tab w:val="num" w:pos="720"/>
        </w:tabs>
        <w:ind w:firstLine="709"/>
        <w:jc w:val="both"/>
        <w:rPr>
          <w:sz w:val="28"/>
          <w:szCs w:val="28"/>
        </w:rPr>
      </w:pPr>
      <w:r w:rsidRPr="00B204B8">
        <w:rPr>
          <w:sz w:val="28"/>
          <w:szCs w:val="28"/>
        </w:rPr>
        <w:t>Муниципальные районы</w:t>
      </w:r>
    </w:p>
    <w:p w:rsidR="002726E6" w:rsidRPr="00B204B8" w:rsidRDefault="002726E6" w:rsidP="002726E6">
      <w:pPr>
        <w:tabs>
          <w:tab w:val="num" w:pos="720"/>
        </w:tabs>
        <w:ind w:firstLine="709"/>
        <w:jc w:val="both"/>
        <w:rPr>
          <w:sz w:val="28"/>
          <w:szCs w:val="28"/>
        </w:rPr>
      </w:pPr>
      <w:r w:rsidRPr="00B204B8">
        <w:rPr>
          <w:sz w:val="28"/>
          <w:szCs w:val="28"/>
        </w:rPr>
        <w:t xml:space="preserve">1) </w:t>
      </w:r>
      <w:r w:rsidR="00B9093C" w:rsidRPr="00B204B8">
        <w:rPr>
          <w:sz w:val="28"/>
          <w:szCs w:val="28"/>
        </w:rPr>
        <w:t xml:space="preserve">Алеутский </w:t>
      </w:r>
    </w:p>
    <w:p w:rsidR="002726E6" w:rsidRPr="00B204B8" w:rsidRDefault="002726E6" w:rsidP="002726E6">
      <w:pPr>
        <w:tabs>
          <w:tab w:val="num" w:pos="720"/>
        </w:tabs>
        <w:ind w:firstLine="709"/>
        <w:jc w:val="both"/>
        <w:rPr>
          <w:sz w:val="28"/>
          <w:szCs w:val="28"/>
        </w:rPr>
      </w:pPr>
      <w:r w:rsidRPr="00B204B8">
        <w:rPr>
          <w:sz w:val="28"/>
          <w:szCs w:val="28"/>
        </w:rPr>
        <w:t xml:space="preserve">2) </w:t>
      </w:r>
      <w:r w:rsidR="00080EFD" w:rsidRPr="00B204B8">
        <w:rPr>
          <w:sz w:val="28"/>
          <w:szCs w:val="28"/>
        </w:rPr>
        <w:t>Соболевский</w:t>
      </w:r>
    </w:p>
    <w:p w:rsidR="00CF5A9A" w:rsidRDefault="002726E6" w:rsidP="002726E6">
      <w:pPr>
        <w:tabs>
          <w:tab w:val="num" w:pos="720"/>
        </w:tabs>
        <w:ind w:firstLine="709"/>
        <w:jc w:val="both"/>
        <w:rPr>
          <w:sz w:val="28"/>
          <w:szCs w:val="28"/>
        </w:rPr>
      </w:pPr>
      <w:r w:rsidRPr="00B204B8">
        <w:rPr>
          <w:sz w:val="28"/>
          <w:szCs w:val="28"/>
        </w:rPr>
        <w:t xml:space="preserve">3) </w:t>
      </w:r>
      <w:r w:rsidR="00080EFD" w:rsidRPr="00B204B8">
        <w:rPr>
          <w:sz w:val="28"/>
          <w:szCs w:val="28"/>
        </w:rPr>
        <w:t>Быстринский</w:t>
      </w:r>
    </w:p>
    <w:p w:rsidR="002726E6" w:rsidRPr="00B204B8" w:rsidRDefault="002726E6" w:rsidP="002726E6">
      <w:pPr>
        <w:tabs>
          <w:tab w:val="num" w:pos="720"/>
        </w:tabs>
        <w:ind w:firstLine="709"/>
        <w:jc w:val="both"/>
        <w:rPr>
          <w:sz w:val="28"/>
          <w:szCs w:val="28"/>
        </w:rPr>
      </w:pPr>
      <w:r w:rsidRPr="00B204B8">
        <w:rPr>
          <w:sz w:val="28"/>
          <w:szCs w:val="28"/>
        </w:rPr>
        <w:t xml:space="preserve">Городской округ </w:t>
      </w:r>
    </w:p>
    <w:p w:rsidR="002726E6" w:rsidRPr="00B204B8" w:rsidRDefault="002726E6" w:rsidP="002726E6">
      <w:pPr>
        <w:tabs>
          <w:tab w:val="num" w:pos="720"/>
        </w:tabs>
        <w:ind w:firstLine="709"/>
        <w:jc w:val="both"/>
        <w:rPr>
          <w:sz w:val="28"/>
          <w:szCs w:val="28"/>
        </w:rPr>
      </w:pPr>
      <w:r w:rsidRPr="00B204B8">
        <w:rPr>
          <w:sz w:val="28"/>
          <w:szCs w:val="28"/>
        </w:rPr>
        <w:t xml:space="preserve">1) </w:t>
      </w:r>
      <w:r w:rsidR="00B9093C" w:rsidRPr="00B204B8">
        <w:rPr>
          <w:sz w:val="28"/>
          <w:szCs w:val="28"/>
        </w:rPr>
        <w:t>Петропавловск-Камчатский</w:t>
      </w:r>
    </w:p>
    <w:p w:rsidR="00C46BD3" w:rsidRDefault="002726E6" w:rsidP="00C46BD3">
      <w:pPr>
        <w:jc w:val="right"/>
        <w:rPr>
          <w:sz w:val="28"/>
          <w:szCs w:val="28"/>
        </w:rPr>
      </w:pPr>
      <w:r w:rsidRPr="00B204B8">
        <w:rPr>
          <w:sz w:val="28"/>
          <w:szCs w:val="28"/>
        </w:rPr>
        <w:tab/>
      </w:r>
      <w:r w:rsidRPr="00B204B8">
        <w:rPr>
          <w:sz w:val="28"/>
          <w:szCs w:val="28"/>
        </w:rPr>
        <w:tab/>
      </w:r>
      <w:r w:rsidRPr="00B204B8">
        <w:rPr>
          <w:sz w:val="28"/>
          <w:szCs w:val="28"/>
        </w:rPr>
        <w:tab/>
      </w:r>
      <w:r w:rsidR="00C46BD3">
        <w:rPr>
          <w:sz w:val="28"/>
          <w:szCs w:val="28"/>
        </w:rPr>
        <w:t xml:space="preserve">                                                                                  </w:t>
      </w:r>
    </w:p>
    <w:p w:rsidR="00205BFB" w:rsidRPr="00B204B8" w:rsidRDefault="00C46BD3" w:rsidP="00C46BD3">
      <w:pPr>
        <w:jc w:val="right"/>
        <w:rPr>
          <w:b/>
          <w:sz w:val="28"/>
          <w:szCs w:val="28"/>
        </w:rPr>
      </w:pPr>
      <w:r>
        <w:rPr>
          <w:sz w:val="28"/>
          <w:szCs w:val="28"/>
        </w:rPr>
        <w:lastRenderedPageBreak/>
        <w:t xml:space="preserve">                 </w:t>
      </w:r>
      <w:r w:rsidR="008F5700">
        <w:rPr>
          <w:b/>
          <w:noProof/>
          <w:sz w:val="28"/>
          <w:szCs w:val="28"/>
          <w:lang w:eastAsia="ru-RU"/>
        </w:rPr>
        <w:drawing>
          <wp:inline distT="0" distB="0" distL="0" distR="0" wp14:anchorId="1265F446" wp14:editId="6C58EB02">
            <wp:extent cx="5677231" cy="3714223"/>
            <wp:effectExtent l="0" t="0" r="0" b="63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681288" cy="3716877"/>
                    </a:xfrm>
                    <a:prstGeom prst="rect">
                      <a:avLst/>
                    </a:prstGeom>
                    <a:noFill/>
                  </pic:spPr>
                </pic:pic>
              </a:graphicData>
            </a:graphic>
          </wp:inline>
        </w:drawing>
      </w:r>
    </w:p>
    <w:p w:rsidR="00200DBC" w:rsidRPr="005717A5" w:rsidRDefault="005717A5" w:rsidP="005717A5">
      <w:pPr>
        <w:tabs>
          <w:tab w:val="num" w:pos="720"/>
        </w:tabs>
        <w:ind w:firstLine="709"/>
        <w:jc w:val="center"/>
        <w:rPr>
          <w:sz w:val="28"/>
          <w:szCs w:val="28"/>
        </w:rPr>
      </w:pPr>
      <w:r w:rsidRPr="005717A5">
        <w:rPr>
          <w:sz w:val="28"/>
          <w:szCs w:val="28"/>
        </w:rPr>
        <w:t>Рисунок 18</w:t>
      </w:r>
    </w:p>
    <w:p w:rsidR="001E2A29" w:rsidRPr="00B204B8" w:rsidRDefault="001E2A29" w:rsidP="007B3B7B">
      <w:pPr>
        <w:tabs>
          <w:tab w:val="num" w:pos="720"/>
        </w:tabs>
        <w:ind w:firstLine="709"/>
        <w:jc w:val="right"/>
        <w:rPr>
          <w:b/>
          <w:sz w:val="28"/>
          <w:szCs w:val="28"/>
          <w:lang w:val="en-US"/>
        </w:rPr>
      </w:pPr>
    </w:p>
    <w:p w:rsidR="001E2A29" w:rsidRPr="00B204B8" w:rsidRDefault="001E2A29" w:rsidP="007B3B7B">
      <w:pPr>
        <w:tabs>
          <w:tab w:val="num" w:pos="720"/>
        </w:tabs>
        <w:ind w:firstLine="709"/>
        <w:jc w:val="right"/>
        <w:rPr>
          <w:b/>
          <w:sz w:val="28"/>
          <w:szCs w:val="28"/>
          <w:lang w:val="en-US"/>
        </w:rPr>
      </w:pPr>
    </w:p>
    <w:p w:rsidR="002726E6" w:rsidRPr="005D4155" w:rsidRDefault="002726E6" w:rsidP="008F5700">
      <w:pPr>
        <w:tabs>
          <w:tab w:val="num" w:pos="720"/>
        </w:tabs>
        <w:ind w:right="-1" w:firstLine="709"/>
        <w:jc w:val="right"/>
        <w:rPr>
          <w:b/>
          <w:sz w:val="28"/>
          <w:szCs w:val="28"/>
        </w:rPr>
      </w:pPr>
    </w:p>
    <w:p w:rsidR="002726E6" w:rsidRPr="00B204B8" w:rsidRDefault="008F5700" w:rsidP="008F5700">
      <w:pPr>
        <w:ind w:right="-1"/>
        <w:jc w:val="both"/>
        <w:rPr>
          <w:sz w:val="28"/>
          <w:szCs w:val="28"/>
        </w:rPr>
      </w:pPr>
      <w:r>
        <w:rPr>
          <w:noProof/>
          <w:sz w:val="28"/>
          <w:szCs w:val="28"/>
          <w:lang w:eastAsia="ru-RU"/>
        </w:rPr>
        <w:drawing>
          <wp:inline distT="0" distB="0" distL="0" distR="0" wp14:anchorId="1D55DE8B">
            <wp:extent cx="6122505" cy="400553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33551" cy="4012761"/>
                    </a:xfrm>
                    <a:prstGeom prst="rect">
                      <a:avLst/>
                    </a:prstGeom>
                    <a:noFill/>
                  </pic:spPr>
                </pic:pic>
              </a:graphicData>
            </a:graphic>
          </wp:inline>
        </w:drawing>
      </w:r>
    </w:p>
    <w:p w:rsidR="00F470AD" w:rsidRDefault="005717A5" w:rsidP="005717A5">
      <w:pPr>
        <w:tabs>
          <w:tab w:val="num" w:pos="720"/>
        </w:tabs>
        <w:jc w:val="center"/>
        <w:rPr>
          <w:sz w:val="28"/>
          <w:szCs w:val="28"/>
        </w:rPr>
      </w:pPr>
      <w:r w:rsidRPr="005717A5">
        <w:rPr>
          <w:sz w:val="28"/>
          <w:szCs w:val="28"/>
        </w:rPr>
        <w:t>Рисунок 19</w:t>
      </w:r>
    </w:p>
    <w:p w:rsidR="005717A5" w:rsidRPr="005717A5" w:rsidRDefault="005717A5" w:rsidP="005717A5">
      <w:pPr>
        <w:tabs>
          <w:tab w:val="num" w:pos="720"/>
        </w:tabs>
        <w:jc w:val="center"/>
        <w:rPr>
          <w:sz w:val="28"/>
          <w:szCs w:val="28"/>
        </w:rPr>
      </w:pPr>
    </w:p>
    <w:p w:rsidR="002726E6" w:rsidRPr="00B204B8" w:rsidRDefault="002726E6" w:rsidP="00063BF7">
      <w:pPr>
        <w:tabs>
          <w:tab w:val="num" w:pos="720"/>
        </w:tabs>
        <w:jc w:val="center"/>
        <w:rPr>
          <w:b/>
          <w:sz w:val="28"/>
          <w:szCs w:val="28"/>
        </w:rPr>
      </w:pPr>
      <w:r w:rsidRPr="00B204B8">
        <w:rPr>
          <w:b/>
          <w:sz w:val="28"/>
          <w:szCs w:val="28"/>
        </w:rPr>
        <w:lastRenderedPageBreak/>
        <w:t>II Итоги социологических опросов населения</w:t>
      </w:r>
    </w:p>
    <w:p w:rsidR="002726E6" w:rsidRPr="00B204B8" w:rsidRDefault="002726E6" w:rsidP="00063BF7">
      <w:pPr>
        <w:tabs>
          <w:tab w:val="num" w:pos="720"/>
        </w:tabs>
        <w:jc w:val="center"/>
        <w:rPr>
          <w:sz w:val="28"/>
          <w:szCs w:val="28"/>
        </w:rPr>
      </w:pPr>
    </w:p>
    <w:p w:rsidR="00ED2ED4" w:rsidRPr="00B204B8" w:rsidRDefault="00214A67" w:rsidP="00ED2ED4">
      <w:pPr>
        <w:ind w:firstLine="709"/>
        <w:jc w:val="both"/>
        <w:rPr>
          <w:sz w:val="28"/>
          <w:szCs w:val="28"/>
        </w:rPr>
      </w:pPr>
      <w:r w:rsidRPr="00B204B8">
        <w:rPr>
          <w:sz w:val="28"/>
          <w:szCs w:val="28"/>
        </w:rPr>
        <w:t xml:space="preserve">Опросы населения представляют собой оценку мнения граждан, уровень их удовлетворенности различными аспектами жизни, за состояние которых отвечают органы местного самоуправления. В оценке эффективности учитывается среднегодовой уровень оценки населением деятельности органов местного самоуправления в Камчатском крае, а его вес в </w:t>
      </w:r>
      <w:r w:rsidR="00ED2ED4" w:rsidRPr="00B204B8">
        <w:rPr>
          <w:sz w:val="28"/>
          <w:szCs w:val="28"/>
        </w:rPr>
        <w:t>оценке соста</w:t>
      </w:r>
      <w:r w:rsidRPr="00B204B8">
        <w:rPr>
          <w:sz w:val="28"/>
          <w:szCs w:val="28"/>
        </w:rPr>
        <w:t>вляет 20 %.</w:t>
      </w:r>
      <w:r w:rsidR="00ED2ED4" w:rsidRPr="00B204B8">
        <w:rPr>
          <w:sz w:val="28"/>
          <w:szCs w:val="28"/>
        </w:rPr>
        <w:t xml:space="preserve"> </w:t>
      </w:r>
      <w:r w:rsidR="00EC3E2D" w:rsidRPr="00B204B8">
        <w:rPr>
          <w:sz w:val="28"/>
          <w:szCs w:val="28"/>
        </w:rPr>
        <w:t>Из чего следует, что н</w:t>
      </w:r>
      <w:r w:rsidR="00ED2ED4" w:rsidRPr="00B204B8">
        <w:rPr>
          <w:sz w:val="28"/>
          <w:szCs w:val="28"/>
        </w:rPr>
        <w:t xml:space="preserve">а </w:t>
      </w:r>
      <w:r w:rsidR="00EC3E2D" w:rsidRPr="00B204B8">
        <w:rPr>
          <w:sz w:val="28"/>
          <w:szCs w:val="28"/>
        </w:rPr>
        <w:t xml:space="preserve">окончательное распределение мест при ранжировании по результатам оценки показателей эффективности деятельности органов местного самоуправления </w:t>
      </w:r>
      <w:r w:rsidR="00ED2ED4" w:rsidRPr="00B204B8">
        <w:rPr>
          <w:sz w:val="28"/>
          <w:szCs w:val="28"/>
        </w:rPr>
        <w:t>максимальное влияние оказывает показатель № 37 «Удовлетворенность населения деятельностью органов местного самоуправления городского округа (муниципального района)». Чем выше его среднее значение и лучше динамика, тем больше вероятность городского округа, муниципального района занять верхние строки рейтинга.</w:t>
      </w:r>
    </w:p>
    <w:p w:rsidR="00EF3FD7" w:rsidRPr="00B204B8" w:rsidRDefault="00EF3FD7" w:rsidP="00ED2ED4">
      <w:pPr>
        <w:ind w:firstLine="709"/>
        <w:jc w:val="both"/>
        <w:rPr>
          <w:sz w:val="28"/>
          <w:szCs w:val="28"/>
        </w:rPr>
      </w:pPr>
    </w:p>
    <w:p w:rsidR="00803854" w:rsidRPr="00B204B8" w:rsidRDefault="00803854" w:rsidP="005059EA">
      <w:pPr>
        <w:jc w:val="center"/>
        <w:rPr>
          <w:b/>
          <w:sz w:val="28"/>
          <w:szCs w:val="28"/>
        </w:rPr>
      </w:pPr>
      <w:r w:rsidRPr="00B204B8">
        <w:rPr>
          <w:b/>
          <w:sz w:val="28"/>
          <w:szCs w:val="28"/>
        </w:rPr>
        <w:t xml:space="preserve">Показатели удовлетворенности населения </w:t>
      </w:r>
    </w:p>
    <w:p w:rsidR="00803854" w:rsidRPr="00B204B8" w:rsidRDefault="00803854" w:rsidP="005059EA">
      <w:pPr>
        <w:jc w:val="center"/>
        <w:rPr>
          <w:b/>
          <w:sz w:val="28"/>
          <w:szCs w:val="28"/>
        </w:rPr>
      </w:pPr>
      <w:r w:rsidRPr="00B204B8">
        <w:rPr>
          <w:b/>
          <w:sz w:val="28"/>
          <w:szCs w:val="28"/>
        </w:rPr>
        <w:t xml:space="preserve">деятельностью органов местного самоуправления городских округов </w:t>
      </w:r>
    </w:p>
    <w:p w:rsidR="00803854" w:rsidRPr="00B204B8" w:rsidRDefault="00803854" w:rsidP="00803854">
      <w:pPr>
        <w:jc w:val="center"/>
        <w:rPr>
          <w:b/>
          <w:sz w:val="28"/>
          <w:szCs w:val="28"/>
        </w:rPr>
      </w:pPr>
      <w:r w:rsidRPr="00B204B8">
        <w:rPr>
          <w:b/>
          <w:sz w:val="28"/>
          <w:szCs w:val="28"/>
        </w:rPr>
        <w:t>и муниципальных районов Камчатского края за 2014 г</w:t>
      </w:r>
      <w:r w:rsidR="00BA7574">
        <w:rPr>
          <w:b/>
          <w:sz w:val="28"/>
          <w:szCs w:val="28"/>
        </w:rPr>
        <w:t>од</w:t>
      </w:r>
    </w:p>
    <w:p w:rsidR="00803854" w:rsidRPr="00B204B8" w:rsidRDefault="00803854" w:rsidP="00803854">
      <w:pPr>
        <w:jc w:val="center"/>
        <w:rPr>
          <w:b/>
          <w:sz w:val="28"/>
          <w:szCs w:val="28"/>
        </w:rPr>
      </w:pPr>
    </w:p>
    <w:tbl>
      <w:tblPr>
        <w:tblpPr w:leftFromText="180" w:rightFromText="180" w:vertAnchor="text" w:tblpY="1"/>
        <w:tblOverlap w:val="never"/>
        <w:tblW w:w="9355" w:type="dxa"/>
        <w:tblInd w:w="534" w:type="dxa"/>
        <w:tblLook w:val="0000" w:firstRow="0" w:lastRow="0" w:firstColumn="0" w:lastColumn="0" w:noHBand="0" w:noVBand="0"/>
      </w:tblPr>
      <w:tblGrid>
        <w:gridCol w:w="647"/>
        <w:gridCol w:w="7007"/>
        <w:gridCol w:w="1701"/>
      </w:tblGrid>
      <w:tr w:rsidR="00803854" w:rsidRPr="00B204B8" w:rsidTr="005059EA">
        <w:trPr>
          <w:trHeight w:val="572"/>
        </w:trPr>
        <w:tc>
          <w:tcPr>
            <w:tcW w:w="647" w:type="dxa"/>
            <w:tcBorders>
              <w:top w:val="single" w:sz="4" w:space="0" w:color="auto"/>
              <w:left w:val="single" w:sz="4" w:space="0" w:color="auto"/>
              <w:bottom w:val="single" w:sz="4" w:space="0" w:color="auto"/>
              <w:right w:val="single" w:sz="4" w:space="0" w:color="auto"/>
            </w:tcBorders>
            <w:shd w:val="clear" w:color="auto" w:fill="auto"/>
            <w:vAlign w:val="center"/>
          </w:tcPr>
          <w:p w:rsidR="00803854" w:rsidRPr="00B204B8" w:rsidRDefault="00803854" w:rsidP="005059EA">
            <w:pPr>
              <w:jc w:val="center"/>
              <w:rPr>
                <w:rFonts w:eastAsia="Times New Roman"/>
                <w:bCs/>
                <w:lang w:eastAsia="ru-RU"/>
              </w:rPr>
            </w:pPr>
            <w:r w:rsidRPr="00B204B8">
              <w:rPr>
                <w:rFonts w:eastAsia="Times New Roman"/>
                <w:bCs/>
                <w:lang w:eastAsia="ru-RU"/>
              </w:rPr>
              <w:t>№ п/п</w:t>
            </w:r>
          </w:p>
        </w:tc>
        <w:tc>
          <w:tcPr>
            <w:tcW w:w="7007"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3854" w:rsidRPr="00B204B8" w:rsidRDefault="00803854" w:rsidP="005059EA">
            <w:pPr>
              <w:jc w:val="center"/>
              <w:rPr>
                <w:rFonts w:eastAsia="Times New Roman"/>
                <w:bCs/>
                <w:lang w:eastAsia="ru-RU"/>
              </w:rPr>
            </w:pPr>
            <w:r w:rsidRPr="00B204B8">
              <w:rPr>
                <w:rFonts w:eastAsia="Times New Roman"/>
                <w:bCs/>
                <w:lang w:eastAsia="ru-RU"/>
              </w:rPr>
              <w:t>Городские округа и муниципальные районы</w:t>
            </w:r>
          </w:p>
        </w:tc>
        <w:tc>
          <w:tcPr>
            <w:tcW w:w="1701" w:type="dxa"/>
            <w:tcBorders>
              <w:top w:val="single" w:sz="4" w:space="0" w:color="auto"/>
              <w:left w:val="nil"/>
              <w:right w:val="single" w:sz="4" w:space="0" w:color="auto"/>
            </w:tcBorders>
            <w:vAlign w:val="center"/>
          </w:tcPr>
          <w:p w:rsidR="00803854" w:rsidRPr="00B204B8" w:rsidRDefault="00803854" w:rsidP="005059EA">
            <w:pPr>
              <w:jc w:val="center"/>
              <w:rPr>
                <w:rFonts w:eastAsia="Times New Roman"/>
                <w:lang w:eastAsia="ru-RU"/>
              </w:rPr>
            </w:pPr>
            <w:r w:rsidRPr="00B204B8">
              <w:rPr>
                <w:rFonts w:eastAsia="Times New Roman"/>
                <w:lang w:eastAsia="ru-RU"/>
              </w:rPr>
              <w:t xml:space="preserve"> % от числа опрошенных</w:t>
            </w:r>
          </w:p>
        </w:tc>
      </w:tr>
      <w:tr w:rsidR="00803854" w:rsidRPr="00B204B8" w:rsidTr="00803854">
        <w:trPr>
          <w:trHeight w:val="563"/>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1.</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lang w:eastAsia="ru-RU"/>
              </w:rPr>
            </w:pPr>
            <w:r w:rsidRPr="00B204B8">
              <w:rPr>
                <w:szCs w:val="28"/>
              </w:rPr>
              <w:t xml:space="preserve">Петропавловск-Камчатский городской округ </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szCs w:val="28"/>
              </w:rPr>
              <w:t xml:space="preserve">37,5 </w:t>
            </w:r>
          </w:p>
        </w:tc>
      </w:tr>
      <w:tr w:rsidR="00803854" w:rsidRPr="00B204B8" w:rsidTr="00803854">
        <w:trPr>
          <w:trHeight w:val="558"/>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2.</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szCs w:val="28"/>
                <w:lang w:eastAsia="ru-RU"/>
              </w:rPr>
            </w:pPr>
            <w:r w:rsidRPr="00B204B8">
              <w:rPr>
                <w:rFonts w:eastAsia="Times New Roman"/>
                <w:szCs w:val="28"/>
                <w:lang w:eastAsia="ru-RU"/>
              </w:rPr>
              <w:t xml:space="preserve">Вилючинский городской округ </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36,0</w:t>
            </w:r>
          </w:p>
        </w:tc>
      </w:tr>
      <w:tr w:rsidR="00803854" w:rsidRPr="00B204B8" w:rsidTr="00803854">
        <w:trPr>
          <w:trHeight w:val="551"/>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3.</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412F7D" w:rsidP="005059EA">
            <w:pPr>
              <w:rPr>
                <w:rFonts w:eastAsia="Times New Roman"/>
                <w:lang w:eastAsia="ru-RU"/>
              </w:rPr>
            </w:pPr>
            <w:hyperlink r:id="rId31" w:history="1">
              <w:r w:rsidR="00803854" w:rsidRPr="00B204B8">
                <w:rPr>
                  <w:rStyle w:val="a5"/>
                  <w:color w:val="auto"/>
                  <w:szCs w:val="28"/>
                  <w:u w:val="none"/>
                </w:rPr>
                <w:t>Городской округ  «посёлок Палана»</w:t>
              </w:r>
            </w:hyperlink>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szCs w:val="28"/>
              </w:rPr>
              <w:t>60,0</w:t>
            </w:r>
          </w:p>
        </w:tc>
      </w:tr>
      <w:tr w:rsidR="00803854" w:rsidRPr="00B204B8" w:rsidTr="00803854">
        <w:trPr>
          <w:trHeight w:val="559"/>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4.</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lang w:eastAsia="ru-RU"/>
              </w:rPr>
            </w:pPr>
            <w:r w:rsidRPr="00B204B8">
              <w:rPr>
                <w:szCs w:val="28"/>
              </w:rPr>
              <w:t xml:space="preserve">Алеутский муниципальный район </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szCs w:val="28"/>
              </w:rPr>
              <w:t>57,1</w:t>
            </w:r>
          </w:p>
        </w:tc>
      </w:tr>
      <w:tr w:rsidR="00803854" w:rsidRPr="00B204B8" w:rsidTr="00803854">
        <w:trPr>
          <w:trHeight w:val="566"/>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5.</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lang w:eastAsia="ru-RU"/>
              </w:rPr>
            </w:pPr>
            <w:r w:rsidRPr="00B204B8">
              <w:rPr>
                <w:szCs w:val="28"/>
              </w:rPr>
              <w:t>Быстринский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50,0</w:t>
            </w:r>
          </w:p>
          <w:p w:rsidR="00803854" w:rsidRPr="00B204B8" w:rsidRDefault="00803854" w:rsidP="005059EA">
            <w:pPr>
              <w:jc w:val="center"/>
              <w:rPr>
                <w:rFonts w:eastAsia="Times New Roman"/>
                <w:szCs w:val="28"/>
                <w:lang w:eastAsia="ru-RU"/>
              </w:rPr>
            </w:pPr>
          </w:p>
        </w:tc>
      </w:tr>
      <w:tr w:rsidR="00803854" w:rsidRPr="00B204B8" w:rsidTr="00803854">
        <w:trPr>
          <w:trHeight w:val="561"/>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6.</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lang w:eastAsia="ru-RU"/>
              </w:rPr>
            </w:pPr>
            <w:r w:rsidRPr="00B204B8">
              <w:rPr>
                <w:szCs w:val="28"/>
              </w:rPr>
              <w:t>Елизовский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szCs w:val="28"/>
              </w:rPr>
              <w:t>41,2</w:t>
            </w:r>
          </w:p>
        </w:tc>
      </w:tr>
      <w:tr w:rsidR="00803854" w:rsidRPr="00B204B8" w:rsidTr="00803854">
        <w:trPr>
          <w:trHeight w:val="555"/>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7.</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lang w:eastAsia="ru-RU"/>
              </w:rPr>
            </w:pPr>
            <w:r w:rsidRPr="00B204B8">
              <w:rPr>
                <w:szCs w:val="28"/>
              </w:rPr>
              <w:t>Мильковский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szCs w:val="28"/>
              </w:rPr>
              <w:t>66,7</w:t>
            </w:r>
          </w:p>
        </w:tc>
      </w:tr>
      <w:tr w:rsidR="00803854" w:rsidRPr="00B204B8" w:rsidTr="00803854">
        <w:trPr>
          <w:trHeight w:val="550"/>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8.</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lang w:eastAsia="ru-RU"/>
              </w:rPr>
            </w:pPr>
            <w:r w:rsidRPr="00B204B8">
              <w:rPr>
                <w:szCs w:val="28"/>
              </w:rPr>
              <w:t>Соболевский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szCs w:val="28"/>
              </w:rPr>
              <w:t>50,0</w:t>
            </w:r>
          </w:p>
        </w:tc>
      </w:tr>
      <w:tr w:rsidR="00803854" w:rsidRPr="00B204B8" w:rsidTr="00803854">
        <w:trPr>
          <w:trHeight w:val="557"/>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9.</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rFonts w:eastAsia="Times New Roman"/>
                <w:bCs/>
                <w:iCs/>
                <w:lang w:eastAsia="ru-RU"/>
              </w:rPr>
            </w:pPr>
            <w:r w:rsidRPr="00B204B8">
              <w:rPr>
                <w:szCs w:val="28"/>
              </w:rPr>
              <w:t>Усть-Большерецкий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szCs w:val="28"/>
              </w:rPr>
              <w:t>32,0</w:t>
            </w:r>
          </w:p>
        </w:tc>
      </w:tr>
      <w:tr w:rsidR="00803854" w:rsidRPr="00B204B8" w:rsidTr="00803854">
        <w:trPr>
          <w:trHeight w:val="565"/>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10.</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szCs w:val="28"/>
              </w:rPr>
            </w:pPr>
            <w:r w:rsidRPr="00B204B8">
              <w:rPr>
                <w:szCs w:val="28"/>
              </w:rPr>
              <w:t>Усть-Камчатский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szCs w:val="28"/>
              </w:rPr>
            </w:pPr>
            <w:r w:rsidRPr="00B204B8">
              <w:rPr>
                <w:szCs w:val="28"/>
              </w:rPr>
              <w:t>61,7</w:t>
            </w:r>
          </w:p>
        </w:tc>
      </w:tr>
      <w:tr w:rsidR="00803854" w:rsidRPr="00B204B8" w:rsidTr="00803854">
        <w:trPr>
          <w:trHeight w:val="545"/>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11.</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szCs w:val="28"/>
              </w:rPr>
            </w:pPr>
            <w:r w:rsidRPr="00B204B8">
              <w:rPr>
                <w:szCs w:val="28"/>
              </w:rPr>
              <w:t>Карагинский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szCs w:val="28"/>
              </w:rPr>
            </w:pPr>
            <w:r w:rsidRPr="00B204B8">
              <w:rPr>
                <w:szCs w:val="28"/>
              </w:rPr>
              <w:t>37,5</w:t>
            </w:r>
          </w:p>
        </w:tc>
      </w:tr>
      <w:tr w:rsidR="00803854" w:rsidRPr="00B204B8" w:rsidTr="005059EA">
        <w:trPr>
          <w:trHeight w:val="765"/>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12.</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szCs w:val="28"/>
              </w:rPr>
            </w:pPr>
            <w:r w:rsidRPr="00B204B8">
              <w:rPr>
                <w:szCs w:val="28"/>
              </w:rPr>
              <w:t>Олюторский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szCs w:val="28"/>
              </w:rPr>
            </w:pPr>
            <w:r w:rsidRPr="00B204B8">
              <w:rPr>
                <w:szCs w:val="28"/>
              </w:rPr>
              <w:t>25,0</w:t>
            </w:r>
          </w:p>
        </w:tc>
      </w:tr>
      <w:tr w:rsidR="00803854" w:rsidRPr="00B204B8" w:rsidTr="005059EA">
        <w:trPr>
          <w:trHeight w:val="765"/>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lastRenderedPageBreak/>
              <w:t>13.</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szCs w:val="28"/>
              </w:rPr>
            </w:pPr>
            <w:r w:rsidRPr="00B204B8">
              <w:rPr>
                <w:szCs w:val="28"/>
              </w:rPr>
              <w:t>Пенжинский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szCs w:val="28"/>
              </w:rPr>
            </w:pPr>
            <w:r w:rsidRPr="00B204B8">
              <w:rPr>
                <w:szCs w:val="28"/>
              </w:rPr>
              <w:t>53,8</w:t>
            </w:r>
          </w:p>
        </w:tc>
      </w:tr>
      <w:tr w:rsidR="00803854" w:rsidRPr="00B204B8" w:rsidTr="00803854">
        <w:trPr>
          <w:trHeight w:val="327"/>
        </w:trPr>
        <w:tc>
          <w:tcPr>
            <w:tcW w:w="64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14.</w:t>
            </w:r>
          </w:p>
        </w:tc>
        <w:tc>
          <w:tcPr>
            <w:tcW w:w="7007" w:type="dxa"/>
            <w:tcBorders>
              <w:top w:val="single" w:sz="4" w:space="0" w:color="auto"/>
              <w:left w:val="single" w:sz="4" w:space="0" w:color="auto"/>
              <w:bottom w:val="single" w:sz="4" w:space="0" w:color="auto"/>
              <w:right w:val="single" w:sz="4" w:space="0" w:color="auto"/>
            </w:tcBorders>
            <w:vAlign w:val="center"/>
          </w:tcPr>
          <w:p w:rsidR="00803854" w:rsidRPr="00B204B8" w:rsidRDefault="00803854" w:rsidP="005059EA">
            <w:pPr>
              <w:rPr>
                <w:szCs w:val="28"/>
              </w:rPr>
            </w:pPr>
            <w:r w:rsidRPr="00B204B8">
              <w:rPr>
                <w:szCs w:val="28"/>
              </w:rPr>
              <w:t>Тигильский  муниципальный район</w:t>
            </w:r>
          </w:p>
        </w:tc>
        <w:tc>
          <w:tcPr>
            <w:tcW w:w="1701" w:type="dxa"/>
            <w:tcBorders>
              <w:top w:val="single" w:sz="4" w:space="0" w:color="auto"/>
              <w:left w:val="nil"/>
              <w:bottom w:val="single" w:sz="4" w:space="0" w:color="auto"/>
              <w:right w:val="single" w:sz="4" w:space="0" w:color="auto"/>
            </w:tcBorders>
            <w:vAlign w:val="center"/>
          </w:tcPr>
          <w:p w:rsidR="00803854" w:rsidRPr="00B204B8" w:rsidRDefault="00803854" w:rsidP="005059EA">
            <w:pPr>
              <w:jc w:val="center"/>
              <w:rPr>
                <w:rFonts w:eastAsia="Times New Roman"/>
                <w:szCs w:val="28"/>
                <w:lang w:eastAsia="ru-RU"/>
              </w:rPr>
            </w:pPr>
            <w:r w:rsidRPr="00B204B8">
              <w:rPr>
                <w:rFonts w:eastAsia="Times New Roman"/>
                <w:szCs w:val="28"/>
                <w:lang w:eastAsia="ru-RU"/>
              </w:rPr>
              <w:t>34,3</w:t>
            </w:r>
          </w:p>
          <w:p w:rsidR="00803854" w:rsidRPr="00B204B8" w:rsidRDefault="00803854" w:rsidP="005059EA">
            <w:pPr>
              <w:jc w:val="center"/>
              <w:rPr>
                <w:szCs w:val="28"/>
              </w:rPr>
            </w:pPr>
          </w:p>
        </w:tc>
      </w:tr>
    </w:tbl>
    <w:p w:rsidR="002726E6" w:rsidRPr="00B204B8" w:rsidRDefault="002726E6" w:rsidP="002726E6">
      <w:pPr>
        <w:ind w:firstLine="709"/>
        <w:jc w:val="both"/>
        <w:rPr>
          <w:sz w:val="28"/>
          <w:szCs w:val="28"/>
        </w:rPr>
      </w:pPr>
    </w:p>
    <w:p w:rsidR="002726E6" w:rsidRPr="00B204B8" w:rsidRDefault="002726E6" w:rsidP="002726E6">
      <w:pPr>
        <w:ind w:firstLine="709"/>
        <w:jc w:val="both"/>
        <w:rPr>
          <w:sz w:val="28"/>
          <w:szCs w:val="28"/>
        </w:rPr>
      </w:pPr>
      <w:r w:rsidRPr="00B204B8">
        <w:rPr>
          <w:sz w:val="28"/>
          <w:szCs w:val="28"/>
        </w:rPr>
        <w:t xml:space="preserve">В целом по </w:t>
      </w:r>
      <w:r w:rsidR="001E526E" w:rsidRPr="00B204B8">
        <w:rPr>
          <w:sz w:val="28"/>
          <w:szCs w:val="28"/>
        </w:rPr>
        <w:t>Камчатском</w:t>
      </w:r>
      <w:r w:rsidRPr="00B204B8">
        <w:rPr>
          <w:sz w:val="28"/>
          <w:szCs w:val="28"/>
        </w:rPr>
        <w:t>у краю удовлетворенность населения деятельностью органов местного самоуправления в 201</w:t>
      </w:r>
      <w:r w:rsidR="00803854" w:rsidRPr="00B204B8">
        <w:rPr>
          <w:sz w:val="28"/>
          <w:szCs w:val="28"/>
        </w:rPr>
        <w:t>4</w:t>
      </w:r>
      <w:r w:rsidRPr="00B204B8">
        <w:rPr>
          <w:sz w:val="28"/>
          <w:szCs w:val="28"/>
        </w:rPr>
        <w:t xml:space="preserve"> году сложилась на уровне </w:t>
      </w:r>
      <w:r w:rsidR="00D77200" w:rsidRPr="00B204B8">
        <w:rPr>
          <w:sz w:val="28"/>
          <w:szCs w:val="28"/>
        </w:rPr>
        <w:t>45,91 %</w:t>
      </w:r>
      <w:r w:rsidR="00904C8F" w:rsidRPr="00B204B8">
        <w:rPr>
          <w:sz w:val="28"/>
          <w:szCs w:val="28"/>
        </w:rPr>
        <w:t xml:space="preserve"> на </w:t>
      </w:r>
      <w:r w:rsidR="00D77200" w:rsidRPr="00B204B8">
        <w:rPr>
          <w:sz w:val="28"/>
          <w:szCs w:val="28"/>
        </w:rPr>
        <w:t>2,93</w:t>
      </w:r>
      <w:r w:rsidR="004D398F" w:rsidRPr="00B204B8">
        <w:rPr>
          <w:sz w:val="28"/>
          <w:szCs w:val="28"/>
        </w:rPr>
        <w:t xml:space="preserve"> процентных пункта</w:t>
      </w:r>
      <w:r w:rsidR="00904C8F" w:rsidRPr="00B204B8">
        <w:rPr>
          <w:sz w:val="28"/>
          <w:szCs w:val="28"/>
        </w:rPr>
        <w:t xml:space="preserve"> выше, чем в 201</w:t>
      </w:r>
      <w:r w:rsidR="00D77200" w:rsidRPr="00B204B8">
        <w:rPr>
          <w:sz w:val="28"/>
          <w:szCs w:val="28"/>
        </w:rPr>
        <w:t>3</w:t>
      </w:r>
      <w:r w:rsidR="00904C8F" w:rsidRPr="00B204B8">
        <w:rPr>
          <w:sz w:val="28"/>
          <w:szCs w:val="28"/>
        </w:rPr>
        <w:t xml:space="preserve"> году.</w:t>
      </w:r>
    </w:p>
    <w:p w:rsidR="00F470AD" w:rsidRPr="00B204B8" w:rsidRDefault="00BA24E9" w:rsidP="00BA24E9">
      <w:pPr>
        <w:ind w:firstLine="709"/>
        <w:jc w:val="both"/>
        <w:rPr>
          <w:sz w:val="28"/>
          <w:szCs w:val="28"/>
        </w:rPr>
      </w:pPr>
      <w:r w:rsidRPr="00B204B8">
        <w:rPr>
          <w:sz w:val="28"/>
          <w:szCs w:val="28"/>
        </w:rPr>
        <w:t>По результатам проведенной оценки наивысшие значения сводного индекса показателя, отражающего удовлетворенность населения деятельностью органов местного самоуправления, сложились в следующих муниципальных образованиях:</w:t>
      </w:r>
    </w:p>
    <w:p w:rsidR="00BA24E9" w:rsidRPr="00B204B8" w:rsidRDefault="00BA24E9" w:rsidP="00BA24E9">
      <w:pPr>
        <w:tabs>
          <w:tab w:val="num" w:pos="720"/>
        </w:tabs>
        <w:ind w:firstLine="709"/>
        <w:jc w:val="both"/>
        <w:rPr>
          <w:sz w:val="28"/>
          <w:szCs w:val="28"/>
        </w:rPr>
      </w:pPr>
      <w:r w:rsidRPr="00B204B8">
        <w:rPr>
          <w:sz w:val="28"/>
          <w:szCs w:val="28"/>
        </w:rPr>
        <w:t>Муниципальные районы</w:t>
      </w:r>
    </w:p>
    <w:p w:rsidR="00BA24E9" w:rsidRPr="00B204B8" w:rsidRDefault="00BA24E9" w:rsidP="00BA24E9">
      <w:pPr>
        <w:tabs>
          <w:tab w:val="num" w:pos="720"/>
        </w:tabs>
        <w:ind w:firstLine="709"/>
        <w:jc w:val="both"/>
        <w:rPr>
          <w:sz w:val="28"/>
          <w:szCs w:val="28"/>
        </w:rPr>
      </w:pPr>
      <w:r w:rsidRPr="00B204B8">
        <w:rPr>
          <w:sz w:val="28"/>
          <w:szCs w:val="28"/>
        </w:rPr>
        <w:t xml:space="preserve">1) Соболевский </w:t>
      </w:r>
    </w:p>
    <w:p w:rsidR="00BA24E9" w:rsidRPr="00B204B8" w:rsidRDefault="00BA24E9" w:rsidP="00BA24E9">
      <w:pPr>
        <w:tabs>
          <w:tab w:val="num" w:pos="720"/>
        </w:tabs>
        <w:ind w:firstLine="709"/>
        <w:jc w:val="both"/>
        <w:rPr>
          <w:sz w:val="28"/>
          <w:szCs w:val="28"/>
        </w:rPr>
      </w:pPr>
      <w:r w:rsidRPr="00B204B8">
        <w:rPr>
          <w:sz w:val="28"/>
          <w:szCs w:val="28"/>
        </w:rPr>
        <w:t xml:space="preserve">2) Алеутский </w:t>
      </w:r>
    </w:p>
    <w:p w:rsidR="00CF5A9A" w:rsidRPr="00B204B8" w:rsidRDefault="00BA24E9" w:rsidP="00BA24E9">
      <w:pPr>
        <w:tabs>
          <w:tab w:val="num" w:pos="720"/>
        </w:tabs>
        <w:ind w:firstLine="709"/>
        <w:jc w:val="both"/>
        <w:rPr>
          <w:sz w:val="28"/>
          <w:szCs w:val="28"/>
        </w:rPr>
      </w:pPr>
      <w:r w:rsidRPr="00B204B8">
        <w:rPr>
          <w:sz w:val="28"/>
          <w:szCs w:val="28"/>
        </w:rPr>
        <w:t>3) Мильковский</w:t>
      </w:r>
    </w:p>
    <w:p w:rsidR="00BA24E9" w:rsidRPr="00B204B8" w:rsidRDefault="00BA24E9" w:rsidP="00BA24E9">
      <w:pPr>
        <w:tabs>
          <w:tab w:val="num" w:pos="720"/>
        </w:tabs>
        <w:ind w:firstLine="709"/>
        <w:jc w:val="both"/>
        <w:rPr>
          <w:sz w:val="28"/>
          <w:szCs w:val="28"/>
        </w:rPr>
      </w:pPr>
      <w:r w:rsidRPr="00B204B8">
        <w:rPr>
          <w:sz w:val="28"/>
          <w:szCs w:val="28"/>
        </w:rPr>
        <w:t xml:space="preserve">Городской округ </w:t>
      </w:r>
    </w:p>
    <w:p w:rsidR="00BA24E9" w:rsidRDefault="00636DA1" w:rsidP="00636DA1">
      <w:pPr>
        <w:tabs>
          <w:tab w:val="num" w:pos="720"/>
        </w:tabs>
        <w:ind w:firstLine="709"/>
        <w:jc w:val="both"/>
        <w:rPr>
          <w:sz w:val="28"/>
          <w:szCs w:val="28"/>
        </w:rPr>
      </w:pPr>
      <w:r>
        <w:rPr>
          <w:sz w:val="28"/>
          <w:szCs w:val="28"/>
        </w:rPr>
        <w:t xml:space="preserve">1) </w:t>
      </w:r>
      <w:r w:rsidR="00BA24E9" w:rsidRPr="0083201D">
        <w:rPr>
          <w:sz w:val="28"/>
          <w:szCs w:val="28"/>
        </w:rPr>
        <w:t>п</w:t>
      </w:r>
      <w:r w:rsidR="00F203C7" w:rsidRPr="0083201D">
        <w:rPr>
          <w:sz w:val="28"/>
          <w:szCs w:val="28"/>
        </w:rPr>
        <w:t xml:space="preserve">. </w:t>
      </w:r>
      <w:r w:rsidR="00BA24E9" w:rsidRPr="0083201D">
        <w:rPr>
          <w:sz w:val="28"/>
          <w:szCs w:val="28"/>
        </w:rPr>
        <w:t>Палана</w:t>
      </w:r>
    </w:p>
    <w:p w:rsidR="00014A49" w:rsidRPr="0083201D" w:rsidRDefault="00014A49" w:rsidP="00636DA1">
      <w:pPr>
        <w:tabs>
          <w:tab w:val="num" w:pos="720"/>
        </w:tabs>
        <w:ind w:firstLine="709"/>
        <w:jc w:val="both"/>
        <w:rPr>
          <w:sz w:val="28"/>
          <w:szCs w:val="28"/>
        </w:rPr>
      </w:pPr>
    </w:p>
    <w:p w:rsidR="002726E6" w:rsidRDefault="002726E6" w:rsidP="002726E6">
      <w:pPr>
        <w:jc w:val="center"/>
        <w:rPr>
          <w:b/>
          <w:sz w:val="28"/>
          <w:szCs w:val="28"/>
        </w:rPr>
      </w:pPr>
      <w:r w:rsidRPr="00B204B8">
        <w:rPr>
          <w:b/>
          <w:sz w:val="28"/>
          <w:szCs w:val="28"/>
        </w:rPr>
        <w:t>III. Результаты оценки эффективности деятельности органов местного самоуправления городских округов и муниципальных районов</w:t>
      </w:r>
    </w:p>
    <w:p w:rsidR="0083201D" w:rsidRPr="00B204B8" w:rsidRDefault="0083201D" w:rsidP="002726E6">
      <w:pPr>
        <w:jc w:val="center"/>
        <w:rPr>
          <w:b/>
          <w:sz w:val="28"/>
          <w:szCs w:val="28"/>
        </w:rPr>
      </w:pPr>
    </w:p>
    <w:p w:rsidR="0083201D" w:rsidRPr="0083201D" w:rsidRDefault="0083201D" w:rsidP="00AD2A48">
      <w:pPr>
        <w:ind w:firstLine="709"/>
        <w:jc w:val="both"/>
        <w:rPr>
          <w:bCs/>
          <w:sz w:val="28"/>
          <w:szCs w:val="28"/>
        </w:rPr>
      </w:pPr>
      <w:r w:rsidRPr="0083201D">
        <w:rPr>
          <w:bCs/>
          <w:sz w:val="28"/>
          <w:szCs w:val="28"/>
        </w:rPr>
        <w:t xml:space="preserve">04.09.2015 </w:t>
      </w:r>
      <w:r w:rsidR="002810D1">
        <w:rPr>
          <w:bCs/>
          <w:sz w:val="28"/>
          <w:szCs w:val="28"/>
        </w:rPr>
        <w:t>состоялось</w:t>
      </w:r>
      <w:r w:rsidRPr="0083201D">
        <w:rPr>
          <w:bCs/>
          <w:sz w:val="28"/>
          <w:szCs w:val="28"/>
        </w:rPr>
        <w:t xml:space="preserve"> заседание экспертной группы  по оценке эффективности деятельности органов местного самоуправления городских округов и муниципальных районов в Камчатском крае по итогам 2014</w:t>
      </w:r>
      <w:r w:rsidR="0005028F">
        <w:rPr>
          <w:bCs/>
          <w:sz w:val="28"/>
          <w:szCs w:val="28"/>
        </w:rPr>
        <w:t xml:space="preserve"> года</w:t>
      </w:r>
      <w:r w:rsidRPr="0083201D">
        <w:rPr>
          <w:bCs/>
          <w:sz w:val="28"/>
          <w:szCs w:val="28"/>
        </w:rPr>
        <w:t>, на котором был</w:t>
      </w:r>
      <w:r w:rsidR="00417EB1">
        <w:rPr>
          <w:bCs/>
          <w:sz w:val="28"/>
          <w:szCs w:val="28"/>
        </w:rPr>
        <w:t>и</w:t>
      </w:r>
      <w:r w:rsidRPr="0083201D">
        <w:rPr>
          <w:bCs/>
          <w:sz w:val="28"/>
          <w:szCs w:val="28"/>
        </w:rPr>
        <w:t xml:space="preserve"> принят</w:t>
      </w:r>
      <w:r>
        <w:rPr>
          <w:bCs/>
          <w:sz w:val="28"/>
          <w:szCs w:val="28"/>
        </w:rPr>
        <w:t>ы</w:t>
      </w:r>
      <w:r w:rsidRPr="0083201D">
        <w:rPr>
          <w:bCs/>
          <w:sz w:val="28"/>
          <w:szCs w:val="28"/>
        </w:rPr>
        <w:t xml:space="preserve"> решени</w:t>
      </w:r>
      <w:r>
        <w:rPr>
          <w:bCs/>
          <w:sz w:val="28"/>
          <w:szCs w:val="28"/>
        </w:rPr>
        <w:t>я</w:t>
      </w:r>
      <w:r w:rsidRPr="0083201D">
        <w:rPr>
          <w:bCs/>
          <w:sz w:val="28"/>
          <w:szCs w:val="28"/>
        </w:rPr>
        <w:t>:</w:t>
      </w:r>
    </w:p>
    <w:p w:rsidR="0083201D" w:rsidRPr="0083201D" w:rsidRDefault="0083201D" w:rsidP="00AD2A48">
      <w:pPr>
        <w:ind w:firstLine="709"/>
        <w:jc w:val="both"/>
        <w:rPr>
          <w:sz w:val="28"/>
          <w:szCs w:val="28"/>
        </w:rPr>
      </w:pPr>
      <w:r w:rsidRPr="0083201D">
        <w:rPr>
          <w:bCs/>
          <w:sz w:val="28"/>
          <w:szCs w:val="28"/>
        </w:rPr>
        <w:t xml:space="preserve">- утвердить </w:t>
      </w:r>
      <w:r w:rsidRPr="0083201D">
        <w:rPr>
          <w:sz w:val="28"/>
          <w:szCs w:val="28"/>
        </w:rPr>
        <w:t>результаты комплексной оценки эффективности деятельности органов местного самоуправления городских округов и муниципальных районов в Камчатском крае за 2014 год;</w:t>
      </w:r>
    </w:p>
    <w:p w:rsidR="0083201D" w:rsidRPr="0083201D" w:rsidRDefault="0083201D" w:rsidP="00AD2A48">
      <w:pPr>
        <w:ind w:firstLine="709"/>
        <w:jc w:val="both"/>
        <w:rPr>
          <w:bCs/>
          <w:sz w:val="28"/>
          <w:szCs w:val="28"/>
        </w:rPr>
      </w:pPr>
      <w:r w:rsidRPr="0083201D">
        <w:rPr>
          <w:sz w:val="28"/>
          <w:szCs w:val="28"/>
        </w:rPr>
        <w:t>- при расчете экспертной оценки использовать показатели № 9 «</w:t>
      </w:r>
      <w:r w:rsidRPr="0083201D">
        <w:rPr>
          <w:bCs/>
          <w:sz w:val="28"/>
          <w:szCs w:val="28"/>
        </w:rPr>
        <w:t>Доля детей в возрасте 1 - 6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 № 35 «Расходы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w:t>
      </w:r>
    </w:p>
    <w:p w:rsidR="0083201D" w:rsidRDefault="0083201D" w:rsidP="00AD2A48">
      <w:pPr>
        <w:ind w:firstLine="709"/>
        <w:jc w:val="both"/>
        <w:rPr>
          <w:bCs/>
          <w:sz w:val="28"/>
          <w:szCs w:val="28"/>
        </w:rPr>
      </w:pPr>
      <w:r w:rsidRPr="0083201D">
        <w:rPr>
          <w:bCs/>
          <w:sz w:val="28"/>
          <w:szCs w:val="28"/>
        </w:rPr>
        <w:t xml:space="preserve">- при подведении итогов исключить показатели № 18 «Расходы бюджета муниципального образования на общее образование в расчете на </w:t>
      </w:r>
      <w:r>
        <w:rPr>
          <w:bCs/>
          <w:sz w:val="28"/>
          <w:szCs w:val="28"/>
        </w:rPr>
        <w:br/>
      </w:r>
      <w:r w:rsidRPr="0083201D">
        <w:rPr>
          <w:bCs/>
          <w:sz w:val="28"/>
          <w:szCs w:val="28"/>
        </w:rPr>
        <w:t xml:space="preserve">1 обучающегося в муниципальных общеобразовательных учреждениях» и </w:t>
      </w:r>
      <w:r>
        <w:rPr>
          <w:bCs/>
          <w:sz w:val="28"/>
          <w:szCs w:val="28"/>
        </w:rPr>
        <w:br/>
      </w:r>
      <w:r w:rsidRPr="0083201D">
        <w:rPr>
          <w:bCs/>
          <w:sz w:val="28"/>
          <w:szCs w:val="28"/>
        </w:rPr>
        <w:t xml:space="preserve">№ 36 «Наличие в городском округе (муниципальном районе) утвержденного генерального плана городского округа (схемы территориального планирования муниципального района)». </w:t>
      </w:r>
    </w:p>
    <w:p w:rsidR="00F203C7" w:rsidRDefault="0083201D" w:rsidP="0005028F">
      <w:pPr>
        <w:ind w:firstLine="709"/>
        <w:jc w:val="both"/>
        <w:rPr>
          <w:bCs/>
          <w:sz w:val="28"/>
          <w:szCs w:val="28"/>
        </w:rPr>
      </w:pPr>
      <w:r w:rsidRPr="0005028F">
        <w:rPr>
          <w:bCs/>
          <w:sz w:val="28"/>
          <w:szCs w:val="28"/>
        </w:rPr>
        <w:t>Утвержденные экспертной группой итоги</w:t>
      </w:r>
      <w:r w:rsidR="00417EB1" w:rsidRPr="0005028F">
        <w:rPr>
          <w:bCs/>
          <w:sz w:val="28"/>
          <w:szCs w:val="28"/>
        </w:rPr>
        <w:t xml:space="preserve"> </w:t>
      </w:r>
      <w:r w:rsidRPr="0005028F">
        <w:rPr>
          <w:bCs/>
          <w:sz w:val="28"/>
          <w:szCs w:val="28"/>
        </w:rPr>
        <w:t>оценки</w:t>
      </w:r>
      <w:r w:rsidR="00417EB1" w:rsidRPr="0005028F">
        <w:rPr>
          <w:bCs/>
          <w:sz w:val="28"/>
          <w:szCs w:val="28"/>
        </w:rPr>
        <w:t xml:space="preserve"> эффективности деятельности органов местного самоуправления городских округов и </w:t>
      </w:r>
      <w:r w:rsidR="00417EB1" w:rsidRPr="0005028F">
        <w:rPr>
          <w:bCs/>
          <w:sz w:val="28"/>
          <w:szCs w:val="28"/>
        </w:rPr>
        <w:lastRenderedPageBreak/>
        <w:t>муниципальных районов в Камчатском крае,</w:t>
      </w:r>
      <w:r w:rsidR="0005028F" w:rsidRPr="0005028F">
        <w:rPr>
          <w:bCs/>
          <w:sz w:val="28"/>
          <w:szCs w:val="28"/>
        </w:rPr>
        <w:t xml:space="preserve"> рассчитанные и сформированные с учетом представленных Минэкономразвития Камчатского края результатов комплексной оценки</w:t>
      </w:r>
      <w:r w:rsidR="0005028F">
        <w:rPr>
          <w:bCs/>
          <w:sz w:val="28"/>
          <w:szCs w:val="28"/>
        </w:rPr>
        <w:t xml:space="preserve"> и </w:t>
      </w:r>
      <w:r w:rsidR="0005028F" w:rsidRPr="0005028F">
        <w:rPr>
          <w:bCs/>
          <w:sz w:val="28"/>
          <w:szCs w:val="28"/>
        </w:rPr>
        <w:t>принятых к использованию показателей экспертной оценки (рисунок 20):</w:t>
      </w:r>
      <w:r w:rsidR="003F315E" w:rsidRPr="0005028F">
        <w:rPr>
          <w:bCs/>
          <w:sz w:val="28"/>
          <w:szCs w:val="28"/>
        </w:rPr>
        <w:t xml:space="preserve"> </w:t>
      </w:r>
      <w:r w:rsidR="004A5E23" w:rsidRPr="0055351C">
        <w:rPr>
          <w:bCs/>
          <w:sz w:val="28"/>
          <w:szCs w:val="28"/>
        </w:rPr>
        <w:t xml:space="preserve">                                              </w:t>
      </w:r>
      <w:r w:rsidR="00CA03DB" w:rsidRPr="0055351C">
        <w:rPr>
          <w:bCs/>
          <w:sz w:val="28"/>
          <w:szCs w:val="28"/>
        </w:rPr>
        <w:t xml:space="preserve"> </w:t>
      </w:r>
      <w:r w:rsidR="004A5E23" w:rsidRPr="0055351C">
        <w:rPr>
          <w:bCs/>
          <w:sz w:val="28"/>
          <w:szCs w:val="28"/>
        </w:rPr>
        <w:t xml:space="preserve"> </w:t>
      </w:r>
    </w:p>
    <w:p w:rsidR="00A26B15" w:rsidRPr="0055351C" w:rsidRDefault="004A5E23" w:rsidP="00636312">
      <w:pPr>
        <w:jc w:val="both"/>
        <w:rPr>
          <w:b/>
          <w:bCs/>
          <w:sz w:val="28"/>
          <w:szCs w:val="28"/>
        </w:rPr>
      </w:pPr>
      <w:r w:rsidRPr="0055351C">
        <w:rPr>
          <w:bCs/>
          <w:sz w:val="28"/>
          <w:szCs w:val="28"/>
        </w:rPr>
        <w:t xml:space="preserve">  </w:t>
      </w:r>
      <w:r w:rsidR="00E721F2">
        <w:rPr>
          <w:bCs/>
          <w:sz w:val="28"/>
          <w:szCs w:val="28"/>
        </w:rPr>
        <w:t xml:space="preserve">                                                                                                   </w:t>
      </w:r>
      <w:r w:rsidR="00A26B15" w:rsidRPr="0055351C">
        <w:rPr>
          <w:bCs/>
          <w:sz w:val="28"/>
          <w:szCs w:val="28"/>
        </w:rPr>
        <w:t xml:space="preserve"> </w:t>
      </w:r>
    </w:p>
    <w:p w:rsidR="00307E04" w:rsidRDefault="00D77200" w:rsidP="00636312">
      <w:pPr>
        <w:jc w:val="both"/>
        <w:rPr>
          <w:b/>
          <w:bCs/>
          <w:color w:val="1F497D" w:themeColor="text2"/>
          <w:sz w:val="28"/>
          <w:szCs w:val="28"/>
          <w:lang w:val="en-US"/>
        </w:rPr>
      </w:pPr>
      <w:r>
        <w:rPr>
          <w:noProof/>
          <w:lang w:eastAsia="ru-RU"/>
        </w:rPr>
        <w:drawing>
          <wp:inline distT="0" distB="0" distL="0" distR="0">
            <wp:extent cx="5962986" cy="6376946"/>
            <wp:effectExtent l="19050" t="19050" r="19050" b="2413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60154" cy="6373918"/>
                    </a:xfrm>
                    <a:prstGeom prst="rect">
                      <a:avLst/>
                    </a:prstGeom>
                    <a:solidFill>
                      <a:srgbClr val="000000"/>
                    </a:solidFill>
                    <a:ln w="6350" cmpd="sng">
                      <a:solidFill>
                        <a:srgbClr val="000000"/>
                      </a:solidFill>
                      <a:miter lim="800000"/>
                      <a:headEnd/>
                      <a:tailEnd/>
                    </a:ln>
                    <a:effectLst/>
                  </pic:spPr>
                </pic:pic>
              </a:graphicData>
            </a:graphic>
          </wp:inline>
        </w:drawing>
      </w:r>
    </w:p>
    <w:p w:rsidR="00636312" w:rsidRPr="005717A5" w:rsidRDefault="005717A5" w:rsidP="005717A5">
      <w:pPr>
        <w:jc w:val="center"/>
        <w:rPr>
          <w:bCs/>
          <w:sz w:val="28"/>
          <w:szCs w:val="28"/>
        </w:rPr>
      </w:pPr>
      <w:r w:rsidRPr="005717A5">
        <w:rPr>
          <w:bCs/>
          <w:sz w:val="28"/>
          <w:szCs w:val="28"/>
        </w:rPr>
        <w:t>Рисунок 20</w:t>
      </w:r>
    </w:p>
    <w:sectPr w:rsidR="00636312" w:rsidRPr="005717A5" w:rsidSect="001912B1">
      <w:headerReference w:type="even" r:id="rId33"/>
      <w:headerReference w:type="default" r:id="rId34"/>
      <w:footerReference w:type="even" r:id="rId35"/>
      <w:footerReference w:type="default" r:id="rId36"/>
      <w:headerReference w:type="first" r:id="rId37"/>
      <w:footerReference w:type="first" r:id="rId3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2F7D" w:rsidRDefault="00412F7D" w:rsidP="00FD77E0">
      <w:r>
        <w:separator/>
      </w:r>
    </w:p>
  </w:endnote>
  <w:endnote w:type="continuationSeparator" w:id="0">
    <w:p w:rsidR="00412F7D" w:rsidRDefault="00412F7D" w:rsidP="00FD77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imesNewRomanPSMT">
    <w:altName w:val="Times New Roman"/>
    <w:panose1 w:val="00000000000000000000"/>
    <w:charset w:val="00"/>
    <w:family w:val="roman"/>
    <w:notTrueType/>
    <w:pitch w:val="default"/>
  </w:font>
  <w:font w:name="Times New Roman CYR">
    <w:panose1 w:val="02020603050405020304"/>
    <w:charset w:val="CC"/>
    <w:family w:val="roman"/>
    <w:notTrueType/>
    <w:pitch w:val="variable"/>
    <w:sig w:usb0="00000201" w:usb1="00000000" w:usb2="00000000" w:usb3="00000000" w:csb0="00000004" w:csb1="00000000"/>
  </w:font>
  <w:font w:name="TimesNew">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54FA" w:rsidRDefault="002B54FA">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421754"/>
      <w:docPartObj>
        <w:docPartGallery w:val="Page Numbers (Bottom of Page)"/>
        <w:docPartUnique/>
      </w:docPartObj>
    </w:sdtPr>
    <w:sdtEndPr/>
    <w:sdtContent>
      <w:p w:rsidR="002B54FA" w:rsidRDefault="002B54FA">
        <w:pPr>
          <w:pStyle w:val="a8"/>
          <w:jc w:val="right"/>
        </w:pPr>
        <w:r>
          <w:fldChar w:fldCharType="begin"/>
        </w:r>
        <w:r>
          <w:instrText>PAGE   \* MERGEFORMAT</w:instrText>
        </w:r>
        <w:r>
          <w:fldChar w:fldCharType="separate"/>
        </w:r>
        <w:r w:rsidR="001B5C61">
          <w:rPr>
            <w:noProof/>
          </w:rPr>
          <w:t>43</w:t>
        </w:r>
        <w:r>
          <w:fldChar w:fldCharType="end"/>
        </w:r>
      </w:p>
    </w:sdtContent>
  </w:sdt>
  <w:p w:rsidR="002B54FA" w:rsidRDefault="002B54FA">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54FA" w:rsidRDefault="002B54FA">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2F7D" w:rsidRDefault="00412F7D" w:rsidP="00FD77E0">
      <w:r>
        <w:separator/>
      </w:r>
    </w:p>
  </w:footnote>
  <w:footnote w:type="continuationSeparator" w:id="0">
    <w:p w:rsidR="00412F7D" w:rsidRDefault="00412F7D" w:rsidP="00FD77E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54FA" w:rsidRDefault="002B54FA">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54FA" w:rsidRDefault="002B54FA">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54FA" w:rsidRDefault="002B54FA">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B46577"/>
    <w:multiLevelType w:val="hybridMultilevel"/>
    <w:tmpl w:val="D3F8817C"/>
    <w:lvl w:ilvl="0" w:tplc="BADAB93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99A0455"/>
    <w:multiLevelType w:val="hybridMultilevel"/>
    <w:tmpl w:val="72382E3C"/>
    <w:lvl w:ilvl="0" w:tplc="796244DE">
      <w:start w:val="1"/>
      <w:numFmt w:val="decimal"/>
      <w:lvlText w:val="%1)"/>
      <w:lvlJc w:val="left"/>
      <w:pPr>
        <w:ind w:left="1144" w:hanging="360"/>
      </w:pPr>
      <w:rPr>
        <w:rFonts w:hint="default"/>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2">
    <w:nsid w:val="09B9210E"/>
    <w:multiLevelType w:val="hybridMultilevel"/>
    <w:tmpl w:val="BDE6A0AE"/>
    <w:lvl w:ilvl="0" w:tplc="65FC10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9EF26DC"/>
    <w:multiLevelType w:val="hybridMultilevel"/>
    <w:tmpl w:val="FB2A1BFA"/>
    <w:lvl w:ilvl="0" w:tplc="634AAD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1A0B5DB3"/>
    <w:multiLevelType w:val="hybridMultilevel"/>
    <w:tmpl w:val="837CB18A"/>
    <w:lvl w:ilvl="0" w:tplc="82EC1262">
      <w:start w:val="1"/>
      <w:numFmt w:val="decimal"/>
      <w:lvlText w:val="%1."/>
      <w:lvlJc w:val="left"/>
      <w:pPr>
        <w:ind w:left="1790" w:hanging="108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26A83619"/>
    <w:multiLevelType w:val="hybridMultilevel"/>
    <w:tmpl w:val="441EB354"/>
    <w:lvl w:ilvl="0" w:tplc="65FC10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9B37090"/>
    <w:multiLevelType w:val="hybridMultilevel"/>
    <w:tmpl w:val="E3A615B4"/>
    <w:lvl w:ilvl="0" w:tplc="BB8442E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
    <w:nsid w:val="29F96CA1"/>
    <w:multiLevelType w:val="hybridMultilevel"/>
    <w:tmpl w:val="737E3A76"/>
    <w:lvl w:ilvl="0" w:tplc="65FC10DE">
      <w:start w:val="1"/>
      <w:numFmt w:val="bullet"/>
      <w:lvlText w:val=""/>
      <w:lvlJc w:val="left"/>
      <w:pPr>
        <w:ind w:left="722" w:hanging="360"/>
      </w:pPr>
      <w:rPr>
        <w:rFonts w:ascii="Symbol" w:hAnsi="Symbol" w:hint="default"/>
      </w:rPr>
    </w:lvl>
    <w:lvl w:ilvl="1" w:tplc="04190003">
      <w:start w:val="1"/>
      <w:numFmt w:val="bullet"/>
      <w:lvlText w:val="o"/>
      <w:lvlJc w:val="left"/>
      <w:pPr>
        <w:ind w:left="742" w:hanging="360"/>
      </w:pPr>
      <w:rPr>
        <w:rFonts w:ascii="Courier New" w:hAnsi="Courier New" w:cs="Courier New" w:hint="default"/>
      </w:rPr>
    </w:lvl>
    <w:lvl w:ilvl="2" w:tplc="04190005">
      <w:start w:val="1"/>
      <w:numFmt w:val="bullet"/>
      <w:lvlText w:val=""/>
      <w:lvlJc w:val="left"/>
      <w:pPr>
        <w:ind w:left="1462" w:hanging="360"/>
      </w:pPr>
      <w:rPr>
        <w:rFonts w:ascii="Wingdings" w:hAnsi="Wingdings" w:hint="default"/>
      </w:rPr>
    </w:lvl>
    <w:lvl w:ilvl="3" w:tplc="04190001" w:tentative="1">
      <w:start w:val="1"/>
      <w:numFmt w:val="bullet"/>
      <w:lvlText w:val=""/>
      <w:lvlJc w:val="left"/>
      <w:pPr>
        <w:ind w:left="2182" w:hanging="360"/>
      </w:pPr>
      <w:rPr>
        <w:rFonts w:ascii="Symbol" w:hAnsi="Symbol" w:hint="default"/>
      </w:rPr>
    </w:lvl>
    <w:lvl w:ilvl="4" w:tplc="04190003" w:tentative="1">
      <w:start w:val="1"/>
      <w:numFmt w:val="bullet"/>
      <w:lvlText w:val="o"/>
      <w:lvlJc w:val="left"/>
      <w:pPr>
        <w:ind w:left="2902" w:hanging="360"/>
      </w:pPr>
      <w:rPr>
        <w:rFonts w:ascii="Courier New" w:hAnsi="Courier New" w:cs="Courier New" w:hint="default"/>
      </w:rPr>
    </w:lvl>
    <w:lvl w:ilvl="5" w:tplc="04190005" w:tentative="1">
      <w:start w:val="1"/>
      <w:numFmt w:val="bullet"/>
      <w:lvlText w:val=""/>
      <w:lvlJc w:val="left"/>
      <w:pPr>
        <w:ind w:left="3622" w:hanging="360"/>
      </w:pPr>
      <w:rPr>
        <w:rFonts w:ascii="Wingdings" w:hAnsi="Wingdings" w:hint="default"/>
      </w:rPr>
    </w:lvl>
    <w:lvl w:ilvl="6" w:tplc="04190001" w:tentative="1">
      <w:start w:val="1"/>
      <w:numFmt w:val="bullet"/>
      <w:lvlText w:val=""/>
      <w:lvlJc w:val="left"/>
      <w:pPr>
        <w:ind w:left="4342" w:hanging="360"/>
      </w:pPr>
      <w:rPr>
        <w:rFonts w:ascii="Symbol" w:hAnsi="Symbol" w:hint="default"/>
      </w:rPr>
    </w:lvl>
    <w:lvl w:ilvl="7" w:tplc="04190003" w:tentative="1">
      <w:start w:val="1"/>
      <w:numFmt w:val="bullet"/>
      <w:lvlText w:val="o"/>
      <w:lvlJc w:val="left"/>
      <w:pPr>
        <w:ind w:left="5062" w:hanging="360"/>
      </w:pPr>
      <w:rPr>
        <w:rFonts w:ascii="Courier New" w:hAnsi="Courier New" w:cs="Courier New" w:hint="default"/>
      </w:rPr>
    </w:lvl>
    <w:lvl w:ilvl="8" w:tplc="04190005" w:tentative="1">
      <w:start w:val="1"/>
      <w:numFmt w:val="bullet"/>
      <w:lvlText w:val=""/>
      <w:lvlJc w:val="left"/>
      <w:pPr>
        <w:ind w:left="5782" w:hanging="360"/>
      </w:pPr>
      <w:rPr>
        <w:rFonts w:ascii="Wingdings" w:hAnsi="Wingdings" w:hint="default"/>
      </w:rPr>
    </w:lvl>
  </w:abstractNum>
  <w:abstractNum w:abstractNumId="8">
    <w:nsid w:val="350F3BD7"/>
    <w:multiLevelType w:val="hybridMultilevel"/>
    <w:tmpl w:val="8C843520"/>
    <w:lvl w:ilvl="0" w:tplc="D1E6FEE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45046BDF"/>
    <w:multiLevelType w:val="hybridMultilevel"/>
    <w:tmpl w:val="286AF81E"/>
    <w:lvl w:ilvl="0" w:tplc="65FC10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D7E2664"/>
    <w:multiLevelType w:val="hybridMultilevel"/>
    <w:tmpl w:val="C98A2F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0F4713F"/>
    <w:multiLevelType w:val="hybridMultilevel"/>
    <w:tmpl w:val="B56A54E4"/>
    <w:lvl w:ilvl="0" w:tplc="A1049A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520E23A7"/>
    <w:multiLevelType w:val="hybridMultilevel"/>
    <w:tmpl w:val="10669D38"/>
    <w:lvl w:ilvl="0" w:tplc="65FC10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5D92772D"/>
    <w:multiLevelType w:val="hybridMultilevel"/>
    <w:tmpl w:val="7A269F3A"/>
    <w:lvl w:ilvl="0" w:tplc="92AC7E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7"/>
  </w:num>
  <w:num w:numId="3">
    <w:abstractNumId w:val="12"/>
  </w:num>
  <w:num w:numId="4">
    <w:abstractNumId w:val="3"/>
  </w:num>
  <w:num w:numId="5">
    <w:abstractNumId w:val="11"/>
  </w:num>
  <w:num w:numId="6">
    <w:abstractNumId w:val="4"/>
  </w:num>
  <w:num w:numId="7">
    <w:abstractNumId w:val="2"/>
  </w:num>
  <w:num w:numId="8">
    <w:abstractNumId w:val="9"/>
  </w:num>
  <w:num w:numId="9">
    <w:abstractNumId w:val="8"/>
  </w:num>
  <w:num w:numId="10">
    <w:abstractNumId w:val="1"/>
  </w:num>
  <w:num w:numId="11">
    <w:abstractNumId w:val="6"/>
  </w:num>
  <w:num w:numId="12">
    <w:abstractNumId w:val="10"/>
  </w:num>
  <w:num w:numId="13">
    <w:abstractNumId w:val="13"/>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41EB"/>
    <w:rsid w:val="00006360"/>
    <w:rsid w:val="000116EE"/>
    <w:rsid w:val="00014324"/>
    <w:rsid w:val="00014A49"/>
    <w:rsid w:val="000154E2"/>
    <w:rsid w:val="00015BE8"/>
    <w:rsid w:val="00016EC2"/>
    <w:rsid w:val="00020DD6"/>
    <w:rsid w:val="00021468"/>
    <w:rsid w:val="000227BB"/>
    <w:rsid w:val="00023331"/>
    <w:rsid w:val="0002636B"/>
    <w:rsid w:val="00030F9F"/>
    <w:rsid w:val="00033E6F"/>
    <w:rsid w:val="000373A6"/>
    <w:rsid w:val="00042817"/>
    <w:rsid w:val="00044B83"/>
    <w:rsid w:val="000460C8"/>
    <w:rsid w:val="000476C0"/>
    <w:rsid w:val="0005028F"/>
    <w:rsid w:val="000504E2"/>
    <w:rsid w:val="00053084"/>
    <w:rsid w:val="00053AAF"/>
    <w:rsid w:val="0005737E"/>
    <w:rsid w:val="00062F6B"/>
    <w:rsid w:val="00063BF7"/>
    <w:rsid w:val="000645D4"/>
    <w:rsid w:val="00065154"/>
    <w:rsid w:val="0007064E"/>
    <w:rsid w:val="000726CA"/>
    <w:rsid w:val="00074D77"/>
    <w:rsid w:val="00075B5F"/>
    <w:rsid w:val="0007718B"/>
    <w:rsid w:val="00080928"/>
    <w:rsid w:val="00080EFD"/>
    <w:rsid w:val="00083B8E"/>
    <w:rsid w:val="00085F33"/>
    <w:rsid w:val="00087382"/>
    <w:rsid w:val="00090DCB"/>
    <w:rsid w:val="0009206A"/>
    <w:rsid w:val="00094E1E"/>
    <w:rsid w:val="00094FB5"/>
    <w:rsid w:val="00095F33"/>
    <w:rsid w:val="000A022B"/>
    <w:rsid w:val="000A095D"/>
    <w:rsid w:val="000A10EB"/>
    <w:rsid w:val="000A1CBD"/>
    <w:rsid w:val="000A201F"/>
    <w:rsid w:val="000A2D64"/>
    <w:rsid w:val="000B0D04"/>
    <w:rsid w:val="000B2FA8"/>
    <w:rsid w:val="000C0B4B"/>
    <w:rsid w:val="000C126A"/>
    <w:rsid w:val="000D0FA3"/>
    <w:rsid w:val="000D1255"/>
    <w:rsid w:val="000D1345"/>
    <w:rsid w:val="000D1D50"/>
    <w:rsid w:val="000D66CE"/>
    <w:rsid w:val="000D67CE"/>
    <w:rsid w:val="000E192F"/>
    <w:rsid w:val="000E4BF8"/>
    <w:rsid w:val="000E6354"/>
    <w:rsid w:val="000E67EB"/>
    <w:rsid w:val="000E6A17"/>
    <w:rsid w:val="000E6D39"/>
    <w:rsid w:val="000E7926"/>
    <w:rsid w:val="000F0866"/>
    <w:rsid w:val="000F2361"/>
    <w:rsid w:val="000F588C"/>
    <w:rsid w:val="000F628D"/>
    <w:rsid w:val="00100788"/>
    <w:rsid w:val="00102A72"/>
    <w:rsid w:val="00105829"/>
    <w:rsid w:val="0010676B"/>
    <w:rsid w:val="00106B39"/>
    <w:rsid w:val="00110831"/>
    <w:rsid w:val="00112443"/>
    <w:rsid w:val="0011405B"/>
    <w:rsid w:val="001145BE"/>
    <w:rsid w:val="00114EC9"/>
    <w:rsid w:val="001175B6"/>
    <w:rsid w:val="00117CE0"/>
    <w:rsid w:val="00117E3C"/>
    <w:rsid w:val="00120159"/>
    <w:rsid w:val="0012094A"/>
    <w:rsid w:val="00121062"/>
    <w:rsid w:val="0012186F"/>
    <w:rsid w:val="00124249"/>
    <w:rsid w:val="00124B9E"/>
    <w:rsid w:val="001271CA"/>
    <w:rsid w:val="001273C4"/>
    <w:rsid w:val="0013135B"/>
    <w:rsid w:val="001318A4"/>
    <w:rsid w:val="00131D25"/>
    <w:rsid w:val="00133634"/>
    <w:rsid w:val="00134EA3"/>
    <w:rsid w:val="00135382"/>
    <w:rsid w:val="00136025"/>
    <w:rsid w:val="00144272"/>
    <w:rsid w:val="00144C59"/>
    <w:rsid w:val="001467DD"/>
    <w:rsid w:val="00153339"/>
    <w:rsid w:val="0015403A"/>
    <w:rsid w:val="00154A59"/>
    <w:rsid w:val="00161340"/>
    <w:rsid w:val="00163467"/>
    <w:rsid w:val="001654B9"/>
    <w:rsid w:val="00166E77"/>
    <w:rsid w:val="00173D67"/>
    <w:rsid w:val="001746E6"/>
    <w:rsid w:val="00174BBC"/>
    <w:rsid w:val="00176517"/>
    <w:rsid w:val="00180FD1"/>
    <w:rsid w:val="001845CF"/>
    <w:rsid w:val="00186D69"/>
    <w:rsid w:val="001912B1"/>
    <w:rsid w:val="00191CD8"/>
    <w:rsid w:val="001926F1"/>
    <w:rsid w:val="00192965"/>
    <w:rsid w:val="00193605"/>
    <w:rsid w:val="00193913"/>
    <w:rsid w:val="00193C22"/>
    <w:rsid w:val="00193D65"/>
    <w:rsid w:val="0019641C"/>
    <w:rsid w:val="00197741"/>
    <w:rsid w:val="001A1063"/>
    <w:rsid w:val="001A1947"/>
    <w:rsid w:val="001A21DC"/>
    <w:rsid w:val="001A40E9"/>
    <w:rsid w:val="001A4348"/>
    <w:rsid w:val="001A460E"/>
    <w:rsid w:val="001B1725"/>
    <w:rsid w:val="001B1F01"/>
    <w:rsid w:val="001B5C61"/>
    <w:rsid w:val="001C0F34"/>
    <w:rsid w:val="001C59A0"/>
    <w:rsid w:val="001C68C6"/>
    <w:rsid w:val="001C7584"/>
    <w:rsid w:val="001C769D"/>
    <w:rsid w:val="001C7CE6"/>
    <w:rsid w:val="001D08BD"/>
    <w:rsid w:val="001D1741"/>
    <w:rsid w:val="001D67C9"/>
    <w:rsid w:val="001D7043"/>
    <w:rsid w:val="001D7150"/>
    <w:rsid w:val="001E0F1F"/>
    <w:rsid w:val="001E2A29"/>
    <w:rsid w:val="001E3A0E"/>
    <w:rsid w:val="001E526E"/>
    <w:rsid w:val="001E6451"/>
    <w:rsid w:val="001F4A02"/>
    <w:rsid w:val="001F56FE"/>
    <w:rsid w:val="001F6756"/>
    <w:rsid w:val="00200DBC"/>
    <w:rsid w:val="00200F8E"/>
    <w:rsid w:val="00200FE9"/>
    <w:rsid w:val="00203842"/>
    <w:rsid w:val="0020441D"/>
    <w:rsid w:val="00204C2A"/>
    <w:rsid w:val="002057A5"/>
    <w:rsid w:val="00205A4D"/>
    <w:rsid w:val="00205BFB"/>
    <w:rsid w:val="002062B1"/>
    <w:rsid w:val="00206D4F"/>
    <w:rsid w:val="00213106"/>
    <w:rsid w:val="00214A67"/>
    <w:rsid w:val="00215364"/>
    <w:rsid w:val="00215F6F"/>
    <w:rsid w:val="0021770F"/>
    <w:rsid w:val="00226EDD"/>
    <w:rsid w:val="0023076A"/>
    <w:rsid w:val="002321C6"/>
    <w:rsid w:val="00232DEA"/>
    <w:rsid w:val="00233AEC"/>
    <w:rsid w:val="00235C1C"/>
    <w:rsid w:val="00241B67"/>
    <w:rsid w:val="00244067"/>
    <w:rsid w:val="00247F29"/>
    <w:rsid w:val="002510D8"/>
    <w:rsid w:val="00252E13"/>
    <w:rsid w:val="0025340A"/>
    <w:rsid w:val="002578A3"/>
    <w:rsid w:val="00257BDF"/>
    <w:rsid w:val="002601A7"/>
    <w:rsid w:val="002606E7"/>
    <w:rsid w:val="00262764"/>
    <w:rsid w:val="0026327B"/>
    <w:rsid w:val="0026506C"/>
    <w:rsid w:val="002659E5"/>
    <w:rsid w:val="00266145"/>
    <w:rsid w:val="0026650D"/>
    <w:rsid w:val="002674AF"/>
    <w:rsid w:val="00267EBC"/>
    <w:rsid w:val="00267FEE"/>
    <w:rsid w:val="002726E6"/>
    <w:rsid w:val="0027601A"/>
    <w:rsid w:val="0028024A"/>
    <w:rsid w:val="002810D1"/>
    <w:rsid w:val="00281B5C"/>
    <w:rsid w:val="00291C4F"/>
    <w:rsid w:val="00292E6D"/>
    <w:rsid w:val="002B3038"/>
    <w:rsid w:val="002B3D12"/>
    <w:rsid w:val="002B3E96"/>
    <w:rsid w:val="002B4FC0"/>
    <w:rsid w:val="002B54FA"/>
    <w:rsid w:val="002C1981"/>
    <w:rsid w:val="002C1F99"/>
    <w:rsid w:val="002C482E"/>
    <w:rsid w:val="002C6A13"/>
    <w:rsid w:val="002C6F30"/>
    <w:rsid w:val="002D1F83"/>
    <w:rsid w:val="002D29C9"/>
    <w:rsid w:val="002D514E"/>
    <w:rsid w:val="002D6A7B"/>
    <w:rsid w:val="002E321B"/>
    <w:rsid w:val="002E3263"/>
    <w:rsid w:val="002E45DE"/>
    <w:rsid w:val="002E5A9A"/>
    <w:rsid w:val="002E6DAC"/>
    <w:rsid w:val="002F1558"/>
    <w:rsid w:val="002F317A"/>
    <w:rsid w:val="002F4193"/>
    <w:rsid w:val="002F5149"/>
    <w:rsid w:val="002F7027"/>
    <w:rsid w:val="00300339"/>
    <w:rsid w:val="00301E4D"/>
    <w:rsid w:val="00303BAF"/>
    <w:rsid w:val="0030466A"/>
    <w:rsid w:val="00304971"/>
    <w:rsid w:val="00306338"/>
    <w:rsid w:val="00307E04"/>
    <w:rsid w:val="0031097F"/>
    <w:rsid w:val="0031118C"/>
    <w:rsid w:val="003131B0"/>
    <w:rsid w:val="00317767"/>
    <w:rsid w:val="003179DA"/>
    <w:rsid w:val="00320DEC"/>
    <w:rsid w:val="00322BB2"/>
    <w:rsid w:val="00323824"/>
    <w:rsid w:val="003249C1"/>
    <w:rsid w:val="003255FA"/>
    <w:rsid w:val="00325B2D"/>
    <w:rsid w:val="00330951"/>
    <w:rsid w:val="00332305"/>
    <w:rsid w:val="00332674"/>
    <w:rsid w:val="00336DAE"/>
    <w:rsid w:val="00337952"/>
    <w:rsid w:val="00337BDD"/>
    <w:rsid w:val="00340D96"/>
    <w:rsid w:val="003413EC"/>
    <w:rsid w:val="00342999"/>
    <w:rsid w:val="00343290"/>
    <w:rsid w:val="0034483B"/>
    <w:rsid w:val="0034597B"/>
    <w:rsid w:val="00345CAF"/>
    <w:rsid w:val="00350057"/>
    <w:rsid w:val="0035037C"/>
    <w:rsid w:val="00351785"/>
    <w:rsid w:val="0035316F"/>
    <w:rsid w:val="003532F7"/>
    <w:rsid w:val="003542C1"/>
    <w:rsid w:val="00355641"/>
    <w:rsid w:val="0036130F"/>
    <w:rsid w:val="00361E7F"/>
    <w:rsid w:val="00362BCA"/>
    <w:rsid w:val="00366FE8"/>
    <w:rsid w:val="00367289"/>
    <w:rsid w:val="00367C9B"/>
    <w:rsid w:val="003707C7"/>
    <w:rsid w:val="0037241E"/>
    <w:rsid w:val="0037291A"/>
    <w:rsid w:val="0037296B"/>
    <w:rsid w:val="00375DF9"/>
    <w:rsid w:val="003774FE"/>
    <w:rsid w:val="00382B75"/>
    <w:rsid w:val="00382C18"/>
    <w:rsid w:val="00386D5D"/>
    <w:rsid w:val="00391C4B"/>
    <w:rsid w:val="00392A6E"/>
    <w:rsid w:val="00393643"/>
    <w:rsid w:val="00393A07"/>
    <w:rsid w:val="00394226"/>
    <w:rsid w:val="00396064"/>
    <w:rsid w:val="00397F87"/>
    <w:rsid w:val="003A1CF1"/>
    <w:rsid w:val="003A1D2B"/>
    <w:rsid w:val="003A20B8"/>
    <w:rsid w:val="003A5980"/>
    <w:rsid w:val="003A76FE"/>
    <w:rsid w:val="003B0CDC"/>
    <w:rsid w:val="003B1103"/>
    <w:rsid w:val="003B5018"/>
    <w:rsid w:val="003B7587"/>
    <w:rsid w:val="003B7902"/>
    <w:rsid w:val="003C019E"/>
    <w:rsid w:val="003C28AA"/>
    <w:rsid w:val="003C424E"/>
    <w:rsid w:val="003C4A66"/>
    <w:rsid w:val="003C7070"/>
    <w:rsid w:val="003C712B"/>
    <w:rsid w:val="003C7B25"/>
    <w:rsid w:val="003D01A7"/>
    <w:rsid w:val="003D024C"/>
    <w:rsid w:val="003D1844"/>
    <w:rsid w:val="003D2670"/>
    <w:rsid w:val="003D76D3"/>
    <w:rsid w:val="003E1A28"/>
    <w:rsid w:val="003E2A23"/>
    <w:rsid w:val="003E2C55"/>
    <w:rsid w:val="003E7672"/>
    <w:rsid w:val="003E776C"/>
    <w:rsid w:val="003F315E"/>
    <w:rsid w:val="003F5145"/>
    <w:rsid w:val="003F5C01"/>
    <w:rsid w:val="003F6077"/>
    <w:rsid w:val="003F6CAB"/>
    <w:rsid w:val="00402236"/>
    <w:rsid w:val="00403D09"/>
    <w:rsid w:val="004051F3"/>
    <w:rsid w:val="00410D3C"/>
    <w:rsid w:val="00410D95"/>
    <w:rsid w:val="00412F7D"/>
    <w:rsid w:val="0041487C"/>
    <w:rsid w:val="00415D7A"/>
    <w:rsid w:val="004178E0"/>
    <w:rsid w:val="00417EB1"/>
    <w:rsid w:val="004209A7"/>
    <w:rsid w:val="00425236"/>
    <w:rsid w:val="00427F59"/>
    <w:rsid w:val="00427FEE"/>
    <w:rsid w:val="00434832"/>
    <w:rsid w:val="004426F2"/>
    <w:rsid w:val="00443E77"/>
    <w:rsid w:val="00450CA3"/>
    <w:rsid w:val="00452BE1"/>
    <w:rsid w:val="00453F2A"/>
    <w:rsid w:val="004546FC"/>
    <w:rsid w:val="00457ACB"/>
    <w:rsid w:val="00457BC9"/>
    <w:rsid w:val="00457C0C"/>
    <w:rsid w:val="004630DA"/>
    <w:rsid w:val="00464DF3"/>
    <w:rsid w:val="00470E7C"/>
    <w:rsid w:val="00474618"/>
    <w:rsid w:val="00475D03"/>
    <w:rsid w:val="00476038"/>
    <w:rsid w:val="00476F64"/>
    <w:rsid w:val="004836AA"/>
    <w:rsid w:val="00485179"/>
    <w:rsid w:val="00485AED"/>
    <w:rsid w:val="00486F5B"/>
    <w:rsid w:val="00487AE2"/>
    <w:rsid w:val="004903AC"/>
    <w:rsid w:val="00490F10"/>
    <w:rsid w:val="00492D12"/>
    <w:rsid w:val="00496F63"/>
    <w:rsid w:val="00497980"/>
    <w:rsid w:val="00497A24"/>
    <w:rsid w:val="004A3867"/>
    <w:rsid w:val="004A48C9"/>
    <w:rsid w:val="004A4C48"/>
    <w:rsid w:val="004A5E23"/>
    <w:rsid w:val="004B3A03"/>
    <w:rsid w:val="004B743A"/>
    <w:rsid w:val="004C3E00"/>
    <w:rsid w:val="004C5507"/>
    <w:rsid w:val="004C55A2"/>
    <w:rsid w:val="004C6259"/>
    <w:rsid w:val="004C7995"/>
    <w:rsid w:val="004D1891"/>
    <w:rsid w:val="004D398F"/>
    <w:rsid w:val="004D3AE7"/>
    <w:rsid w:val="004D5A7B"/>
    <w:rsid w:val="004E1C4C"/>
    <w:rsid w:val="004F1133"/>
    <w:rsid w:val="004F43D7"/>
    <w:rsid w:val="004F5887"/>
    <w:rsid w:val="004F6338"/>
    <w:rsid w:val="004F775B"/>
    <w:rsid w:val="005059EA"/>
    <w:rsid w:val="00507980"/>
    <w:rsid w:val="005108AC"/>
    <w:rsid w:val="005112D1"/>
    <w:rsid w:val="0051428E"/>
    <w:rsid w:val="00515E2B"/>
    <w:rsid w:val="0051724D"/>
    <w:rsid w:val="00517474"/>
    <w:rsid w:val="00520CA7"/>
    <w:rsid w:val="00523A64"/>
    <w:rsid w:val="00525A6F"/>
    <w:rsid w:val="00525FD3"/>
    <w:rsid w:val="0052763F"/>
    <w:rsid w:val="00532801"/>
    <w:rsid w:val="00533FEB"/>
    <w:rsid w:val="0053568F"/>
    <w:rsid w:val="005356A0"/>
    <w:rsid w:val="0053690B"/>
    <w:rsid w:val="0054204A"/>
    <w:rsid w:val="005425A1"/>
    <w:rsid w:val="005457C4"/>
    <w:rsid w:val="00545B05"/>
    <w:rsid w:val="00547136"/>
    <w:rsid w:val="00550586"/>
    <w:rsid w:val="00551D26"/>
    <w:rsid w:val="0055351C"/>
    <w:rsid w:val="00554D02"/>
    <w:rsid w:val="005565F5"/>
    <w:rsid w:val="00561D33"/>
    <w:rsid w:val="00562573"/>
    <w:rsid w:val="00562F59"/>
    <w:rsid w:val="0056416B"/>
    <w:rsid w:val="00566B93"/>
    <w:rsid w:val="0056788D"/>
    <w:rsid w:val="00571152"/>
    <w:rsid w:val="005717A5"/>
    <w:rsid w:val="005808B1"/>
    <w:rsid w:val="005812BD"/>
    <w:rsid w:val="00581AC6"/>
    <w:rsid w:val="00581B68"/>
    <w:rsid w:val="0058358E"/>
    <w:rsid w:val="005842B7"/>
    <w:rsid w:val="00584508"/>
    <w:rsid w:val="00587714"/>
    <w:rsid w:val="005927E6"/>
    <w:rsid w:val="005A03DE"/>
    <w:rsid w:val="005A09FD"/>
    <w:rsid w:val="005A5CC6"/>
    <w:rsid w:val="005A629B"/>
    <w:rsid w:val="005A7180"/>
    <w:rsid w:val="005B2AA3"/>
    <w:rsid w:val="005B49F0"/>
    <w:rsid w:val="005B769A"/>
    <w:rsid w:val="005C0C29"/>
    <w:rsid w:val="005C735E"/>
    <w:rsid w:val="005D1112"/>
    <w:rsid w:val="005D4155"/>
    <w:rsid w:val="005E15C0"/>
    <w:rsid w:val="005E1634"/>
    <w:rsid w:val="005E2DCB"/>
    <w:rsid w:val="005E31E7"/>
    <w:rsid w:val="005E3293"/>
    <w:rsid w:val="005E350E"/>
    <w:rsid w:val="005E500E"/>
    <w:rsid w:val="005E5BF4"/>
    <w:rsid w:val="005E6CC6"/>
    <w:rsid w:val="005E6F84"/>
    <w:rsid w:val="005F0142"/>
    <w:rsid w:val="005F2576"/>
    <w:rsid w:val="005F4816"/>
    <w:rsid w:val="005F7CA8"/>
    <w:rsid w:val="00603C3F"/>
    <w:rsid w:val="006064C3"/>
    <w:rsid w:val="00610991"/>
    <w:rsid w:val="00611EB9"/>
    <w:rsid w:val="00611FE5"/>
    <w:rsid w:val="00612852"/>
    <w:rsid w:val="00614445"/>
    <w:rsid w:val="00620EC3"/>
    <w:rsid w:val="006217BF"/>
    <w:rsid w:val="006219B3"/>
    <w:rsid w:val="00623940"/>
    <w:rsid w:val="00623C7C"/>
    <w:rsid w:val="006256F1"/>
    <w:rsid w:val="00625799"/>
    <w:rsid w:val="00625B06"/>
    <w:rsid w:val="00627D53"/>
    <w:rsid w:val="00634CA3"/>
    <w:rsid w:val="00636312"/>
    <w:rsid w:val="00636DA1"/>
    <w:rsid w:val="00641C6C"/>
    <w:rsid w:val="006467F7"/>
    <w:rsid w:val="00650233"/>
    <w:rsid w:val="00651FFB"/>
    <w:rsid w:val="00656C1E"/>
    <w:rsid w:val="0066190D"/>
    <w:rsid w:val="00670696"/>
    <w:rsid w:val="00670FFF"/>
    <w:rsid w:val="00671945"/>
    <w:rsid w:val="0067294B"/>
    <w:rsid w:val="00672B13"/>
    <w:rsid w:val="00674B08"/>
    <w:rsid w:val="00676E4F"/>
    <w:rsid w:val="00682F6F"/>
    <w:rsid w:val="006839DC"/>
    <w:rsid w:val="00684B14"/>
    <w:rsid w:val="0069198B"/>
    <w:rsid w:val="006932EC"/>
    <w:rsid w:val="006937E5"/>
    <w:rsid w:val="006A0553"/>
    <w:rsid w:val="006A10D8"/>
    <w:rsid w:val="006A4B8B"/>
    <w:rsid w:val="006A5E08"/>
    <w:rsid w:val="006A6AE2"/>
    <w:rsid w:val="006B2312"/>
    <w:rsid w:val="006B4152"/>
    <w:rsid w:val="006C0235"/>
    <w:rsid w:val="006C0DDE"/>
    <w:rsid w:val="006C1049"/>
    <w:rsid w:val="006C2270"/>
    <w:rsid w:val="006C5B23"/>
    <w:rsid w:val="006C7B71"/>
    <w:rsid w:val="006C7B74"/>
    <w:rsid w:val="006D0065"/>
    <w:rsid w:val="006D4EA4"/>
    <w:rsid w:val="006D576B"/>
    <w:rsid w:val="006D7228"/>
    <w:rsid w:val="006E19D1"/>
    <w:rsid w:val="006E4206"/>
    <w:rsid w:val="006E4FEE"/>
    <w:rsid w:val="006E7A33"/>
    <w:rsid w:val="006F10E4"/>
    <w:rsid w:val="006F2C4F"/>
    <w:rsid w:val="006F328A"/>
    <w:rsid w:val="006F3D39"/>
    <w:rsid w:val="006F4E17"/>
    <w:rsid w:val="00701588"/>
    <w:rsid w:val="00702543"/>
    <w:rsid w:val="00702C54"/>
    <w:rsid w:val="00705C88"/>
    <w:rsid w:val="00706DF9"/>
    <w:rsid w:val="007114C6"/>
    <w:rsid w:val="00712132"/>
    <w:rsid w:val="007201AF"/>
    <w:rsid w:val="00720F22"/>
    <w:rsid w:val="00723340"/>
    <w:rsid w:val="00724D8A"/>
    <w:rsid w:val="00724FE1"/>
    <w:rsid w:val="0072514D"/>
    <w:rsid w:val="007271C6"/>
    <w:rsid w:val="00727A1A"/>
    <w:rsid w:val="007339D6"/>
    <w:rsid w:val="00737AF4"/>
    <w:rsid w:val="00746C03"/>
    <w:rsid w:val="0075225A"/>
    <w:rsid w:val="00755808"/>
    <w:rsid w:val="007574A7"/>
    <w:rsid w:val="00760913"/>
    <w:rsid w:val="00762D63"/>
    <w:rsid w:val="00762E93"/>
    <w:rsid w:val="00765415"/>
    <w:rsid w:val="00773D3C"/>
    <w:rsid w:val="00777728"/>
    <w:rsid w:val="00781077"/>
    <w:rsid w:val="00786A12"/>
    <w:rsid w:val="00787085"/>
    <w:rsid w:val="00787D44"/>
    <w:rsid w:val="00787F0F"/>
    <w:rsid w:val="0079029A"/>
    <w:rsid w:val="0079740E"/>
    <w:rsid w:val="0079773F"/>
    <w:rsid w:val="007A0AAC"/>
    <w:rsid w:val="007A13A0"/>
    <w:rsid w:val="007A229E"/>
    <w:rsid w:val="007A5946"/>
    <w:rsid w:val="007A5CEA"/>
    <w:rsid w:val="007A6EDB"/>
    <w:rsid w:val="007B1633"/>
    <w:rsid w:val="007B1D96"/>
    <w:rsid w:val="007B3B7B"/>
    <w:rsid w:val="007B4583"/>
    <w:rsid w:val="007B6BB8"/>
    <w:rsid w:val="007C0292"/>
    <w:rsid w:val="007C208F"/>
    <w:rsid w:val="007C2940"/>
    <w:rsid w:val="007C3137"/>
    <w:rsid w:val="007C3CCE"/>
    <w:rsid w:val="007C4257"/>
    <w:rsid w:val="007C4CFF"/>
    <w:rsid w:val="007C57ED"/>
    <w:rsid w:val="007D0850"/>
    <w:rsid w:val="007D1EA7"/>
    <w:rsid w:val="007D3D67"/>
    <w:rsid w:val="007D5B21"/>
    <w:rsid w:val="007D7F74"/>
    <w:rsid w:val="007E11AD"/>
    <w:rsid w:val="007E23B0"/>
    <w:rsid w:val="007E6C45"/>
    <w:rsid w:val="007F1842"/>
    <w:rsid w:val="007F508F"/>
    <w:rsid w:val="007F713A"/>
    <w:rsid w:val="00800A97"/>
    <w:rsid w:val="00803854"/>
    <w:rsid w:val="00803CB8"/>
    <w:rsid w:val="00803D92"/>
    <w:rsid w:val="0080689E"/>
    <w:rsid w:val="008111C2"/>
    <w:rsid w:val="00813A42"/>
    <w:rsid w:val="00814192"/>
    <w:rsid w:val="008174D9"/>
    <w:rsid w:val="00820FAD"/>
    <w:rsid w:val="00824059"/>
    <w:rsid w:val="008278AF"/>
    <w:rsid w:val="0083201D"/>
    <w:rsid w:val="0083248F"/>
    <w:rsid w:val="00833700"/>
    <w:rsid w:val="00834785"/>
    <w:rsid w:val="008358B7"/>
    <w:rsid w:val="00835B1B"/>
    <w:rsid w:val="00840B3E"/>
    <w:rsid w:val="008412B7"/>
    <w:rsid w:val="00841AF3"/>
    <w:rsid w:val="00843141"/>
    <w:rsid w:val="0084355C"/>
    <w:rsid w:val="00851959"/>
    <w:rsid w:val="00851B19"/>
    <w:rsid w:val="00853230"/>
    <w:rsid w:val="008571C4"/>
    <w:rsid w:val="00857995"/>
    <w:rsid w:val="00861B9B"/>
    <w:rsid w:val="00862769"/>
    <w:rsid w:val="00862B81"/>
    <w:rsid w:val="00866177"/>
    <w:rsid w:val="008708C1"/>
    <w:rsid w:val="0087233A"/>
    <w:rsid w:val="00873EDC"/>
    <w:rsid w:val="0087635F"/>
    <w:rsid w:val="00881862"/>
    <w:rsid w:val="00883720"/>
    <w:rsid w:val="008844F2"/>
    <w:rsid w:val="00885F16"/>
    <w:rsid w:val="0088738A"/>
    <w:rsid w:val="00892F18"/>
    <w:rsid w:val="008A524C"/>
    <w:rsid w:val="008A653D"/>
    <w:rsid w:val="008B02C6"/>
    <w:rsid w:val="008B2D47"/>
    <w:rsid w:val="008B4E1B"/>
    <w:rsid w:val="008B7ED8"/>
    <w:rsid w:val="008C46D2"/>
    <w:rsid w:val="008C4BC8"/>
    <w:rsid w:val="008C73CF"/>
    <w:rsid w:val="008D11BD"/>
    <w:rsid w:val="008D252F"/>
    <w:rsid w:val="008D461D"/>
    <w:rsid w:val="008E073D"/>
    <w:rsid w:val="008E1300"/>
    <w:rsid w:val="008E21BB"/>
    <w:rsid w:val="008E263F"/>
    <w:rsid w:val="008E39F5"/>
    <w:rsid w:val="008E4BA9"/>
    <w:rsid w:val="008E4F0D"/>
    <w:rsid w:val="008E4FF0"/>
    <w:rsid w:val="008E7C4B"/>
    <w:rsid w:val="008F2B02"/>
    <w:rsid w:val="008F5700"/>
    <w:rsid w:val="008F608B"/>
    <w:rsid w:val="008F64A1"/>
    <w:rsid w:val="008F6CCC"/>
    <w:rsid w:val="008F78D0"/>
    <w:rsid w:val="00900ED1"/>
    <w:rsid w:val="009031F6"/>
    <w:rsid w:val="00904C8F"/>
    <w:rsid w:val="009070F6"/>
    <w:rsid w:val="00910229"/>
    <w:rsid w:val="00914085"/>
    <w:rsid w:val="009151A3"/>
    <w:rsid w:val="00915236"/>
    <w:rsid w:val="0091527A"/>
    <w:rsid w:val="00915E7F"/>
    <w:rsid w:val="009202AA"/>
    <w:rsid w:val="009203B2"/>
    <w:rsid w:val="009207D6"/>
    <w:rsid w:val="00922B60"/>
    <w:rsid w:val="009242D6"/>
    <w:rsid w:val="0092482C"/>
    <w:rsid w:val="00927639"/>
    <w:rsid w:val="00927D7E"/>
    <w:rsid w:val="00930C8F"/>
    <w:rsid w:val="00934759"/>
    <w:rsid w:val="0093614F"/>
    <w:rsid w:val="00936B35"/>
    <w:rsid w:val="00941509"/>
    <w:rsid w:val="009417FA"/>
    <w:rsid w:val="00942957"/>
    <w:rsid w:val="00943CEF"/>
    <w:rsid w:val="00943E31"/>
    <w:rsid w:val="00945071"/>
    <w:rsid w:val="009462A6"/>
    <w:rsid w:val="009464FE"/>
    <w:rsid w:val="009521AF"/>
    <w:rsid w:val="00952ECB"/>
    <w:rsid w:val="0095759B"/>
    <w:rsid w:val="00961848"/>
    <w:rsid w:val="00962F5A"/>
    <w:rsid w:val="00965292"/>
    <w:rsid w:val="00966041"/>
    <w:rsid w:val="00966392"/>
    <w:rsid w:val="00967E52"/>
    <w:rsid w:val="00970C19"/>
    <w:rsid w:val="00970DDF"/>
    <w:rsid w:val="00971690"/>
    <w:rsid w:val="00972D37"/>
    <w:rsid w:val="00973A7A"/>
    <w:rsid w:val="0097427C"/>
    <w:rsid w:val="00977D94"/>
    <w:rsid w:val="009825DD"/>
    <w:rsid w:val="009831D1"/>
    <w:rsid w:val="00983435"/>
    <w:rsid w:val="00983994"/>
    <w:rsid w:val="00983DEE"/>
    <w:rsid w:val="00991AC5"/>
    <w:rsid w:val="009928E7"/>
    <w:rsid w:val="009930F4"/>
    <w:rsid w:val="00994986"/>
    <w:rsid w:val="009951AC"/>
    <w:rsid w:val="00996B53"/>
    <w:rsid w:val="009A128F"/>
    <w:rsid w:val="009A2060"/>
    <w:rsid w:val="009A300D"/>
    <w:rsid w:val="009A3FFF"/>
    <w:rsid w:val="009A4C00"/>
    <w:rsid w:val="009A784E"/>
    <w:rsid w:val="009B1D1E"/>
    <w:rsid w:val="009B1DE7"/>
    <w:rsid w:val="009B1FB6"/>
    <w:rsid w:val="009B3B57"/>
    <w:rsid w:val="009B553D"/>
    <w:rsid w:val="009B5AC3"/>
    <w:rsid w:val="009C449F"/>
    <w:rsid w:val="009C71B4"/>
    <w:rsid w:val="009D245A"/>
    <w:rsid w:val="009D3EE0"/>
    <w:rsid w:val="009D496D"/>
    <w:rsid w:val="009D4C77"/>
    <w:rsid w:val="009D76AB"/>
    <w:rsid w:val="009E04FF"/>
    <w:rsid w:val="009E3467"/>
    <w:rsid w:val="009E5524"/>
    <w:rsid w:val="009F05F6"/>
    <w:rsid w:val="009F15ED"/>
    <w:rsid w:val="009F24E4"/>
    <w:rsid w:val="009F3E22"/>
    <w:rsid w:val="009F43CD"/>
    <w:rsid w:val="00A0133A"/>
    <w:rsid w:val="00A026BA"/>
    <w:rsid w:val="00A044B3"/>
    <w:rsid w:val="00A05B4F"/>
    <w:rsid w:val="00A05C71"/>
    <w:rsid w:val="00A07E9A"/>
    <w:rsid w:val="00A10D2D"/>
    <w:rsid w:val="00A12C6F"/>
    <w:rsid w:val="00A16B04"/>
    <w:rsid w:val="00A207BF"/>
    <w:rsid w:val="00A21CAE"/>
    <w:rsid w:val="00A229B7"/>
    <w:rsid w:val="00A24924"/>
    <w:rsid w:val="00A25541"/>
    <w:rsid w:val="00A26647"/>
    <w:rsid w:val="00A26B15"/>
    <w:rsid w:val="00A2775F"/>
    <w:rsid w:val="00A336E1"/>
    <w:rsid w:val="00A336FF"/>
    <w:rsid w:val="00A37A33"/>
    <w:rsid w:val="00A400F0"/>
    <w:rsid w:val="00A409D0"/>
    <w:rsid w:val="00A409ED"/>
    <w:rsid w:val="00A40A50"/>
    <w:rsid w:val="00A44EB4"/>
    <w:rsid w:val="00A45EBD"/>
    <w:rsid w:val="00A47B6F"/>
    <w:rsid w:val="00A50583"/>
    <w:rsid w:val="00A5180B"/>
    <w:rsid w:val="00A54357"/>
    <w:rsid w:val="00A54ACA"/>
    <w:rsid w:val="00A605AF"/>
    <w:rsid w:val="00A71ABD"/>
    <w:rsid w:val="00A74795"/>
    <w:rsid w:val="00A75C17"/>
    <w:rsid w:val="00A76694"/>
    <w:rsid w:val="00A76EB1"/>
    <w:rsid w:val="00A801B6"/>
    <w:rsid w:val="00A81D12"/>
    <w:rsid w:val="00A84094"/>
    <w:rsid w:val="00A849D2"/>
    <w:rsid w:val="00A85C4D"/>
    <w:rsid w:val="00A87CEA"/>
    <w:rsid w:val="00A9255B"/>
    <w:rsid w:val="00A93B5B"/>
    <w:rsid w:val="00A95041"/>
    <w:rsid w:val="00A9571D"/>
    <w:rsid w:val="00A9597D"/>
    <w:rsid w:val="00A97FAD"/>
    <w:rsid w:val="00AA03FD"/>
    <w:rsid w:val="00AA1470"/>
    <w:rsid w:val="00AA6E82"/>
    <w:rsid w:val="00AA7530"/>
    <w:rsid w:val="00AB2DFF"/>
    <w:rsid w:val="00AC4392"/>
    <w:rsid w:val="00AC4863"/>
    <w:rsid w:val="00AC7ED8"/>
    <w:rsid w:val="00AD1F8E"/>
    <w:rsid w:val="00AD2A48"/>
    <w:rsid w:val="00AD2FAD"/>
    <w:rsid w:val="00AD5250"/>
    <w:rsid w:val="00AE2E08"/>
    <w:rsid w:val="00AE4726"/>
    <w:rsid w:val="00AE4AC9"/>
    <w:rsid w:val="00AE4D79"/>
    <w:rsid w:val="00AF29B3"/>
    <w:rsid w:val="00AF30F4"/>
    <w:rsid w:val="00AF4B91"/>
    <w:rsid w:val="00AF5AEE"/>
    <w:rsid w:val="00AF76B4"/>
    <w:rsid w:val="00B0135D"/>
    <w:rsid w:val="00B02056"/>
    <w:rsid w:val="00B03E7E"/>
    <w:rsid w:val="00B04779"/>
    <w:rsid w:val="00B04C0D"/>
    <w:rsid w:val="00B07B73"/>
    <w:rsid w:val="00B10980"/>
    <w:rsid w:val="00B136CA"/>
    <w:rsid w:val="00B14BAF"/>
    <w:rsid w:val="00B15132"/>
    <w:rsid w:val="00B16387"/>
    <w:rsid w:val="00B167CB"/>
    <w:rsid w:val="00B17C2F"/>
    <w:rsid w:val="00B204B8"/>
    <w:rsid w:val="00B20739"/>
    <w:rsid w:val="00B2084A"/>
    <w:rsid w:val="00B229EB"/>
    <w:rsid w:val="00B23438"/>
    <w:rsid w:val="00B26A2C"/>
    <w:rsid w:val="00B2714F"/>
    <w:rsid w:val="00B279E7"/>
    <w:rsid w:val="00B30026"/>
    <w:rsid w:val="00B307E2"/>
    <w:rsid w:val="00B32A9B"/>
    <w:rsid w:val="00B371BA"/>
    <w:rsid w:val="00B41CDA"/>
    <w:rsid w:val="00B43972"/>
    <w:rsid w:val="00B447D8"/>
    <w:rsid w:val="00B45F99"/>
    <w:rsid w:val="00B501F5"/>
    <w:rsid w:val="00B50CEE"/>
    <w:rsid w:val="00B52158"/>
    <w:rsid w:val="00B53F56"/>
    <w:rsid w:val="00B554BE"/>
    <w:rsid w:val="00B57BD3"/>
    <w:rsid w:val="00B57E67"/>
    <w:rsid w:val="00B64C8C"/>
    <w:rsid w:val="00B651F6"/>
    <w:rsid w:val="00B65686"/>
    <w:rsid w:val="00B72EE4"/>
    <w:rsid w:val="00B74EE8"/>
    <w:rsid w:val="00B76892"/>
    <w:rsid w:val="00B774E7"/>
    <w:rsid w:val="00B77E66"/>
    <w:rsid w:val="00B8115C"/>
    <w:rsid w:val="00B8203B"/>
    <w:rsid w:val="00B82F71"/>
    <w:rsid w:val="00B83602"/>
    <w:rsid w:val="00B83A7A"/>
    <w:rsid w:val="00B85073"/>
    <w:rsid w:val="00B855C8"/>
    <w:rsid w:val="00B85628"/>
    <w:rsid w:val="00B87602"/>
    <w:rsid w:val="00B9093C"/>
    <w:rsid w:val="00B915DC"/>
    <w:rsid w:val="00B92816"/>
    <w:rsid w:val="00B92AD5"/>
    <w:rsid w:val="00B9395B"/>
    <w:rsid w:val="00BA0B75"/>
    <w:rsid w:val="00BA0CCE"/>
    <w:rsid w:val="00BA24E9"/>
    <w:rsid w:val="00BA2AFD"/>
    <w:rsid w:val="00BA49DB"/>
    <w:rsid w:val="00BA61DD"/>
    <w:rsid w:val="00BA7574"/>
    <w:rsid w:val="00BA7629"/>
    <w:rsid w:val="00BA7C5C"/>
    <w:rsid w:val="00BB0598"/>
    <w:rsid w:val="00BB1454"/>
    <w:rsid w:val="00BB199D"/>
    <w:rsid w:val="00BB1BD5"/>
    <w:rsid w:val="00BB1F4D"/>
    <w:rsid w:val="00BB3471"/>
    <w:rsid w:val="00BB3806"/>
    <w:rsid w:val="00BB78C7"/>
    <w:rsid w:val="00BC249D"/>
    <w:rsid w:val="00BC3F3D"/>
    <w:rsid w:val="00BC4B64"/>
    <w:rsid w:val="00BD0193"/>
    <w:rsid w:val="00BD2598"/>
    <w:rsid w:val="00BD41EB"/>
    <w:rsid w:val="00BD5F2F"/>
    <w:rsid w:val="00BD6ABE"/>
    <w:rsid w:val="00BE09F4"/>
    <w:rsid w:val="00BE4026"/>
    <w:rsid w:val="00BE618B"/>
    <w:rsid w:val="00BF122A"/>
    <w:rsid w:val="00BF34FC"/>
    <w:rsid w:val="00BF6332"/>
    <w:rsid w:val="00BF64C1"/>
    <w:rsid w:val="00BF6634"/>
    <w:rsid w:val="00BF6768"/>
    <w:rsid w:val="00BF761A"/>
    <w:rsid w:val="00C01C2D"/>
    <w:rsid w:val="00C04DB4"/>
    <w:rsid w:val="00C06735"/>
    <w:rsid w:val="00C07070"/>
    <w:rsid w:val="00C07212"/>
    <w:rsid w:val="00C105B3"/>
    <w:rsid w:val="00C176E7"/>
    <w:rsid w:val="00C21BD9"/>
    <w:rsid w:val="00C2239E"/>
    <w:rsid w:val="00C22B6E"/>
    <w:rsid w:val="00C24D2C"/>
    <w:rsid w:val="00C252E0"/>
    <w:rsid w:val="00C25E99"/>
    <w:rsid w:val="00C26B66"/>
    <w:rsid w:val="00C27A28"/>
    <w:rsid w:val="00C27DD9"/>
    <w:rsid w:val="00C316BB"/>
    <w:rsid w:val="00C35BA9"/>
    <w:rsid w:val="00C3666F"/>
    <w:rsid w:val="00C36D72"/>
    <w:rsid w:val="00C3710A"/>
    <w:rsid w:val="00C42C56"/>
    <w:rsid w:val="00C43AE9"/>
    <w:rsid w:val="00C442A3"/>
    <w:rsid w:val="00C44CE9"/>
    <w:rsid w:val="00C465E4"/>
    <w:rsid w:val="00C468EA"/>
    <w:rsid w:val="00C46BD3"/>
    <w:rsid w:val="00C4786F"/>
    <w:rsid w:val="00C5141C"/>
    <w:rsid w:val="00C51E76"/>
    <w:rsid w:val="00C52D23"/>
    <w:rsid w:val="00C5415C"/>
    <w:rsid w:val="00C54FF8"/>
    <w:rsid w:val="00C56B35"/>
    <w:rsid w:val="00C60AD1"/>
    <w:rsid w:val="00C6469D"/>
    <w:rsid w:val="00C6785D"/>
    <w:rsid w:val="00C71FE8"/>
    <w:rsid w:val="00C74745"/>
    <w:rsid w:val="00C74889"/>
    <w:rsid w:val="00C7701C"/>
    <w:rsid w:val="00C7755D"/>
    <w:rsid w:val="00C81B99"/>
    <w:rsid w:val="00C82AF1"/>
    <w:rsid w:val="00C82E59"/>
    <w:rsid w:val="00C85BAE"/>
    <w:rsid w:val="00C8713B"/>
    <w:rsid w:val="00C876BA"/>
    <w:rsid w:val="00C9211F"/>
    <w:rsid w:val="00C92225"/>
    <w:rsid w:val="00C95719"/>
    <w:rsid w:val="00C97F16"/>
    <w:rsid w:val="00CA03DB"/>
    <w:rsid w:val="00CA2633"/>
    <w:rsid w:val="00CA448B"/>
    <w:rsid w:val="00CA5536"/>
    <w:rsid w:val="00CA751A"/>
    <w:rsid w:val="00CB085C"/>
    <w:rsid w:val="00CB1132"/>
    <w:rsid w:val="00CB15F7"/>
    <w:rsid w:val="00CB496A"/>
    <w:rsid w:val="00CB52B2"/>
    <w:rsid w:val="00CB7590"/>
    <w:rsid w:val="00CB7A51"/>
    <w:rsid w:val="00CC1A76"/>
    <w:rsid w:val="00CC3148"/>
    <w:rsid w:val="00CC425C"/>
    <w:rsid w:val="00CC715E"/>
    <w:rsid w:val="00CD0B02"/>
    <w:rsid w:val="00CD0E14"/>
    <w:rsid w:val="00CD284E"/>
    <w:rsid w:val="00CD32D9"/>
    <w:rsid w:val="00CD65C1"/>
    <w:rsid w:val="00CE0708"/>
    <w:rsid w:val="00CE47B9"/>
    <w:rsid w:val="00CF3CFE"/>
    <w:rsid w:val="00CF5A9A"/>
    <w:rsid w:val="00CF6748"/>
    <w:rsid w:val="00CF772C"/>
    <w:rsid w:val="00D02E7A"/>
    <w:rsid w:val="00D03FA9"/>
    <w:rsid w:val="00D04C14"/>
    <w:rsid w:val="00D0628F"/>
    <w:rsid w:val="00D107D5"/>
    <w:rsid w:val="00D12F1C"/>
    <w:rsid w:val="00D13B1D"/>
    <w:rsid w:val="00D140BC"/>
    <w:rsid w:val="00D175F3"/>
    <w:rsid w:val="00D21D53"/>
    <w:rsid w:val="00D23353"/>
    <w:rsid w:val="00D245E6"/>
    <w:rsid w:val="00D246D6"/>
    <w:rsid w:val="00D24EFA"/>
    <w:rsid w:val="00D26D64"/>
    <w:rsid w:val="00D313EF"/>
    <w:rsid w:val="00D3185A"/>
    <w:rsid w:val="00D36445"/>
    <w:rsid w:val="00D40C13"/>
    <w:rsid w:val="00D41D50"/>
    <w:rsid w:val="00D43CD6"/>
    <w:rsid w:val="00D43E9F"/>
    <w:rsid w:val="00D440B8"/>
    <w:rsid w:val="00D45AC1"/>
    <w:rsid w:val="00D465D8"/>
    <w:rsid w:val="00D46A62"/>
    <w:rsid w:val="00D511C5"/>
    <w:rsid w:val="00D511F2"/>
    <w:rsid w:val="00D5303C"/>
    <w:rsid w:val="00D55BEF"/>
    <w:rsid w:val="00D565AA"/>
    <w:rsid w:val="00D60643"/>
    <w:rsid w:val="00D62207"/>
    <w:rsid w:val="00D6324F"/>
    <w:rsid w:val="00D64253"/>
    <w:rsid w:val="00D70DF7"/>
    <w:rsid w:val="00D715B4"/>
    <w:rsid w:val="00D71F1D"/>
    <w:rsid w:val="00D733BB"/>
    <w:rsid w:val="00D73A8B"/>
    <w:rsid w:val="00D74C4A"/>
    <w:rsid w:val="00D75377"/>
    <w:rsid w:val="00D753DA"/>
    <w:rsid w:val="00D7666F"/>
    <w:rsid w:val="00D77200"/>
    <w:rsid w:val="00D801B8"/>
    <w:rsid w:val="00D81F08"/>
    <w:rsid w:val="00D8238B"/>
    <w:rsid w:val="00D83DEE"/>
    <w:rsid w:val="00D861C9"/>
    <w:rsid w:val="00D863AD"/>
    <w:rsid w:val="00D87513"/>
    <w:rsid w:val="00DA05F1"/>
    <w:rsid w:val="00DA1986"/>
    <w:rsid w:val="00DA245D"/>
    <w:rsid w:val="00DA3028"/>
    <w:rsid w:val="00DA621E"/>
    <w:rsid w:val="00DB2FBD"/>
    <w:rsid w:val="00DB3D63"/>
    <w:rsid w:val="00DB45D2"/>
    <w:rsid w:val="00DB4EB9"/>
    <w:rsid w:val="00DB61C8"/>
    <w:rsid w:val="00DB6BAC"/>
    <w:rsid w:val="00DC4B7F"/>
    <w:rsid w:val="00DC52DC"/>
    <w:rsid w:val="00DC748B"/>
    <w:rsid w:val="00DC76F2"/>
    <w:rsid w:val="00DC7833"/>
    <w:rsid w:val="00DD0C2A"/>
    <w:rsid w:val="00DD202F"/>
    <w:rsid w:val="00DD3109"/>
    <w:rsid w:val="00DD3288"/>
    <w:rsid w:val="00DD5DEC"/>
    <w:rsid w:val="00DD613E"/>
    <w:rsid w:val="00DD7C67"/>
    <w:rsid w:val="00DE2475"/>
    <w:rsid w:val="00DE40CA"/>
    <w:rsid w:val="00DE523A"/>
    <w:rsid w:val="00DE7079"/>
    <w:rsid w:val="00DF11B9"/>
    <w:rsid w:val="00DF427B"/>
    <w:rsid w:val="00DF469C"/>
    <w:rsid w:val="00DF5F3A"/>
    <w:rsid w:val="00DF6275"/>
    <w:rsid w:val="00E00800"/>
    <w:rsid w:val="00E022A5"/>
    <w:rsid w:val="00E0764E"/>
    <w:rsid w:val="00E0773F"/>
    <w:rsid w:val="00E116A3"/>
    <w:rsid w:val="00E12899"/>
    <w:rsid w:val="00E137EF"/>
    <w:rsid w:val="00E13C8E"/>
    <w:rsid w:val="00E21997"/>
    <w:rsid w:val="00E21EA8"/>
    <w:rsid w:val="00E22FA1"/>
    <w:rsid w:val="00E25207"/>
    <w:rsid w:val="00E2587C"/>
    <w:rsid w:val="00E2629D"/>
    <w:rsid w:val="00E27AE1"/>
    <w:rsid w:val="00E27DC5"/>
    <w:rsid w:val="00E35747"/>
    <w:rsid w:val="00E35F37"/>
    <w:rsid w:val="00E4163E"/>
    <w:rsid w:val="00E4174D"/>
    <w:rsid w:val="00E41829"/>
    <w:rsid w:val="00E43ECF"/>
    <w:rsid w:val="00E5167F"/>
    <w:rsid w:val="00E5255F"/>
    <w:rsid w:val="00E60912"/>
    <w:rsid w:val="00E671A0"/>
    <w:rsid w:val="00E6785A"/>
    <w:rsid w:val="00E70377"/>
    <w:rsid w:val="00E70D96"/>
    <w:rsid w:val="00E70F2C"/>
    <w:rsid w:val="00E71975"/>
    <w:rsid w:val="00E71A2C"/>
    <w:rsid w:val="00E721F2"/>
    <w:rsid w:val="00E725DE"/>
    <w:rsid w:val="00E728EC"/>
    <w:rsid w:val="00E73B81"/>
    <w:rsid w:val="00E75086"/>
    <w:rsid w:val="00E76A83"/>
    <w:rsid w:val="00E76EBB"/>
    <w:rsid w:val="00E77943"/>
    <w:rsid w:val="00E77E10"/>
    <w:rsid w:val="00E82ECA"/>
    <w:rsid w:val="00E83CDC"/>
    <w:rsid w:val="00E842EA"/>
    <w:rsid w:val="00E855F2"/>
    <w:rsid w:val="00E86A56"/>
    <w:rsid w:val="00E90E1F"/>
    <w:rsid w:val="00E91F45"/>
    <w:rsid w:val="00E948D1"/>
    <w:rsid w:val="00E96D5A"/>
    <w:rsid w:val="00EA154E"/>
    <w:rsid w:val="00EA210A"/>
    <w:rsid w:val="00EA2164"/>
    <w:rsid w:val="00EA79CD"/>
    <w:rsid w:val="00EC07FF"/>
    <w:rsid w:val="00EC1809"/>
    <w:rsid w:val="00EC3E2D"/>
    <w:rsid w:val="00EC5E36"/>
    <w:rsid w:val="00EC71F3"/>
    <w:rsid w:val="00ED15F2"/>
    <w:rsid w:val="00ED1DDD"/>
    <w:rsid w:val="00ED2514"/>
    <w:rsid w:val="00ED2ED4"/>
    <w:rsid w:val="00ED312C"/>
    <w:rsid w:val="00ED5E88"/>
    <w:rsid w:val="00EE078B"/>
    <w:rsid w:val="00EE109B"/>
    <w:rsid w:val="00EE1139"/>
    <w:rsid w:val="00EE2285"/>
    <w:rsid w:val="00EE2F0C"/>
    <w:rsid w:val="00EE35D6"/>
    <w:rsid w:val="00EE3C00"/>
    <w:rsid w:val="00EE3EEC"/>
    <w:rsid w:val="00EE4142"/>
    <w:rsid w:val="00EF0BC8"/>
    <w:rsid w:val="00EF1023"/>
    <w:rsid w:val="00EF2064"/>
    <w:rsid w:val="00EF2A0B"/>
    <w:rsid w:val="00EF2B03"/>
    <w:rsid w:val="00EF3FD7"/>
    <w:rsid w:val="00EF4718"/>
    <w:rsid w:val="00EF5473"/>
    <w:rsid w:val="00F018BC"/>
    <w:rsid w:val="00F07424"/>
    <w:rsid w:val="00F13035"/>
    <w:rsid w:val="00F1526E"/>
    <w:rsid w:val="00F16075"/>
    <w:rsid w:val="00F203C7"/>
    <w:rsid w:val="00F21823"/>
    <w:rsid w:val="00F3023C"/>
    <w:rsid w:val="00F31D31"/>
    <w:rsid w:val="00F31F96"/>
    <w:rsid w:val="00F33AC6"/>
    <w:rsid w:val="00F36235"/>
    <w:rsid w:val="00F36C70"/>
    <w:rsid w:val="00F377DA"/>
    <w:rsid w:val="00F408CF"/>
    <w:rsid w:val="00F41C38"/>
    <w:rsid w:val="00F45BFB"/>
    <w:rsid w:val="00F470AD"/>
    <w:rsid w:val="00F5335C"/>
    <w:rsid w:val="00F54EED"/>
    <w:rsid w:val="00F556F7"/>
    <w:rsid w:val="00F61A74"/>
    <w:rsid w:val="00F62762"/>
    <w:rsid w:val="00F637C8"/>
    <w:rsid w:val="00F63BD8"/>
    <w:rsid w:val="00F64564"/>
    <w:rsid w:val="00F64900"/>
    <w:rsid w:val="00F65CA8"/>
    <w:rsid w:val="00F65FEA"/>
    <w:rsid w:val="00F66587"/>
    <w:rsid w:val="00F67989"/>
    <w:rsid w:val="00F70651"/>
    <w:rsid w:val="00F763B7"/>
    <w:rsid w:val="00F7701E"/>
    <w:rsid w:val="00F77388"/>
    <w:rsid w:val="00F80FCA"/>
    <w:rsid w:val="00F8255D"/>
    <w:rsid w:val="00F830D9"/>
    <w:rsid w:val="00F92EDE"/>
    <w:rsid w:val="00F93A1E"/>
    <w:rsid w:val="00FA02B1"/>
    <w:rsid w:val="00FA11EC"/>
    <w:rsid w:val="00FA1EB2"/>
    <w:rsid w:val="00FA1EBB"/>
    <w:rsid w:val="00FA25A6"/>
    <w:rsid w:val="00FA2D67"/>
    <w:rsid w:val="00FA5505"/>
    <w:rsid w:val="00FB142D"/>
    <w:rsid w:val="00FB29F7"/>
    <w:rsid w:val="00FB315F"/>
    <w:rsid w:val="00FB3269"/>
    <w:rsid w:val="00FB4862"/>
    <w:rsid w:val="00FB7787"/>
    <w:rsid w:val="00FC6730"/>
    <w:rsid w:val="00FD0126"/>
    <w:rsid w:val="00FD038D"/>
    <w:rsid w:val="00FD0BFE"/>
    <w:rsid w:val="00FD4D47"/>
    <w:rsid w:val="00FD5020"/>
    <w:rsid w:val="00FD69BC"/>
    <w:rsid w:val="00FD77E0"/>
    <w:rsid w:val="00FE0295"/>
    <w:rsid w:val="00FE03C8"/>
    <w:rsid w:val="00FE0A4F"/>
    <w:rsid w:val="00FE150D"/>
    <w:rsid w:val="00FE3974"/>
    <w:rsid w:val="00FE6AFA"/>
    <w:rsid w:val="00FF5A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41EB"/>
    <w:pPr>
      <w:spacing w:after="0" w:line="240" w:lineRule="auto"/>
    </w:pPr>
    <w:rPr>
      <w:rFonts w:ascii="Times New Roman" w:eastAsia="SimSun" w:hAnsi="Times New Roman" w:cs="Times New Roman"/>
      <w:sz w:val="24"/>
      <w:szCs w:val="24"/>
      <w:lang w:eastAsia="zh-CN"/>
    </w:rPr>
  </w:style>
  <w:style w:type="paragraph" w:styleId="1">
    <w:name w:val="heading 1"/>
    <w:basedOn w:val="a"/>
    <w:next w:val="a"/>
    <w:link w:val="10"/>
    <w:qFormat/>
    <w:rsid w:val="00C07212"/>
    <w:pPr>
      <w:widowControl w:val="0"/>
      <w:autoSpaceDE w:val="0"/>
      <w:autoSpaceDN w:val="0"/>
      <w:adjustRightInd w:val="0"/>
      <w:spacing w:before="108" w:after="108"/>
      <w:jc w:val="center"/>
      <w:outlineLvl w:val="0"/>
    </w:pPr>
    <w:rPr>
      <w:rFonts w:ascii="Arial" w:eastAsia="Times New Roman" w:hAnsi="Arial" w:cs="Arial"/>
      <w:b/>
      <w:bCs/>
      <w:color w:val="000080"/>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BD41E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3">
    <w:name w:val="List Paragraph"/>
    <w:basedOn w:val="a"/>
    <w:link w:val="a4"/>
    <w:uiPriority w:val="34"/>
    <w:qFormat/>
    <w:rsid w:val="00BD41EB"/>
    <w:pPr>
      <w:spacing w:after="200" w:line="276" w:lineRule="auto"/>
      <w:ind w:left="720"/>
      <w:contextualSpacing/>
    </w:pPr>
    <w:rPr>
      <w:rFonts w:ascii="Calibri" w:eastAsia="Calibri" w:hAnsi="Calibri"/>
      <w:sz w:val="22"/>
      <w:szCs w:val="22"/>
      <w:lang w:eastAsia="en-US"/>
    </w:rPr>
  </w:style>
  <w:style w:type="character" w:customStyle="1" w:styleId="a4">
    <w:name w:val="Абзац списка Знак"/>
    <w:link w:val="a3"/>
    <w:uiPriority w:val="34"/>
    <w:locked/>
    <w:rsid w:val="00BD41EB"/>
    <w:rPr>
      <w:rFonts w:ascii="Calibri" w:eastAsia="Calibri" w:hAnsi="Calibri" w:cs="Times New Roman"/>
    </w:rPr>
  </w:style>
  <w:style w:type="character" w:styleId="a5">
    <w:name w:val="Hyperlink"/>
    <w:uiPriority w:val="99"/>
    <w:unhideWhenUsed/>
    <w:rsid w:val="00BD41EB"/>
    <w:rPr>
      <w:color w:val="0000FF"/>
      <w:u w:val="single"/>
    </w:rPr>
  </w:style>
  <w:style w:type="paragraph" w:customStyle="1" w:styleId="ConsPlusTitle">
    <w:name w:val="ConsPlusTitle"/>
    <w:uiPriority w:val="99"/>
    <w:rsid w:val="00BD41EB"/>
    <w:pPr>
      <w:widowControl w:val="0"/>
      <w:autoSpaceDE w:val="0"/>
      <w:autoSpaceDN w:val="0"/>
      <w:adjustRightInd w:val="0"/>
      <w:spacing w:after="0" w:line="240" w:lineRule="auto"/>
    </w:pPr>
    <w:rPr>
      <w:rFonts w:ascii="Calibri" w:eastAsia="Times New Roman" w:hAnsi="Calibri" w:cs="Calibri"/>
      <w:b/>
      <w:bCs/>
      <w:lang w:eastAsia="ru-RU"/>
    </w:rPr>
  </w:style>
  <w:style w:type="paragraph" w:styleId="3">
    <w:name w:val="Body Text 3"/>
    <w:basedOn w:val="a"/>
    <w:link w:val="30"/>
    <w:rsid w:val="00BD41EB"/>
    <w:pPr>
      <w:spacing w:after="120"/>
    </w:pPr>
    <w:rPr>
      <w:sz w:val="16"/>
      <w:szCs w:val="16"/>
    </w:rPr>
  </w:style>
  <w:style w:type="character" w:customStyle="1" w:styleId="30">
    <w:name w:val="Основной текст 3 Знак"/>
    <w:basedOn w:val="a0"/>
    <w:link w:val="3"/>
    <w:rsid w:val="00BD41EB"/>
    <w:rPr>
      <w:rFonts w:ascii="Times New Roman" w:eastAsia="SimSun" w:hAnsi="Times New Roman" w:cs="Times New Roman"/>
      <w:sz w:val="16"/>
      <w:szCs w:val="16"/>
      <w:lang w:eastAsia="zh-CN"/>
    </w:rPr>
  </w:style>
  <w:style w:type="paragraph" w:styleId="a6">
    <w:name w:val="header"/>
    <w:basedOn w:val="a"/>
    <w:link w:val="a7"/>
    <w:unhideWhenUsed/>
    <w:rsid w:val="00FD77E0"/>
    <w:pPr>
      <w:tabs>
        <w:tab w:val="center" w:pos="4677"/>
        <w:tab w:val="right" w:pos="9355"/>
      </w:tabs>
    </w:pPr>
  </w:style>
  <w:style w:type="character" w:customStyle="1" w:styleId="a7">
    <w:name w:val="Верхний колонтитул Знак"/>
    <w:basedOn w:val="a0"/>
    <w:link w:val="a6"/>
    <w:rsid w:val="00FD77E0"/>
    <w:rPr>
      <w:rFonts w:ascii="Times New Roman" w:eastAsia="SimSun" w:hAnsi="Times New Roman" w:cs="Times New Roman"/>
      <w:sz w:val="24"/>
      <w:szCs w:val="24"/>
      <w:lang w:eastAsia="zh-CN"/>
    </w:rPr>
  </w:style>
  <w:style w:type="paragraph" w:styleId="a8">
    <w:name w:val="footer"/>
    <w:basedOn w:val="a"/>
    <w:link w:val="a9"/>
    <w:uiPriority w:val="99"/>
    <w:unhideWhenUsed/>
    <w:rsid w:val="00FD77E0"/>
    <w:pPr>
      <w:tabs>
        <w:tab w:val="center" w:pos="4677"/>
        <w:tab w:val="right" w:pos="9355"/>
      </w:tabs>
    </w:pPr>
  </w:style>
  <w:style w:type="character" w:customStyle="1" w:styleId="a9">
    <w:name w:val="Нижний колонтитул Знак"/>
    <w:basedOn w:val="a0"/>
    <w:link w:val="a8"/>
    <w:uiPriority w:val="99"/>
    <w:rsid w:val="00FD77E0"/>
    <w:rPr>
      <w:rFonts w:ascii="Times New Roman" w:eastAsia="SimSun" w:hAnsi="Times New Roman" w:cs="Times New Roman"/>
      <w:sz w:val="24"/>
      <w:szCs w:val="24"/>
      <w:lang w:eastAsia="zh-CN"/>
    </w:rPr>
  </w:style>
  <w:style w:type="character" w:styleId="aa">
    <w:name w:val="FollowedHyperlink"/>
    <w:basedOn w:val="a0"/>
    <w:uiPriority w:val="99"/>
    <w:semiHidden/>
    <w:unhideWhenUsed/>
    <w:rsid w:val="00A25541"/>
    <w:rPr>
      <w:color w:val="800080" w:themeColor="followedHyperlink"/>
      <w:u w:val="single"/>
    </w:rPr>
  </w:style>
  <w:style w:type="paragraph" w:styleId="ab">
    <w:name w:val="Balloon Text"/>
    <w:basedOn w:val="a"/>
    <w:link w:val="ac"/>
    <w:uiPriority w:val="99"/>
    <w:semiHidden/>
    <w:unhideWhenUsed/>
    <w:rsid w:val="0079773F"/>
    <w:rPr>
      <w:rFonts w:ascii="Tahoma" w:hAnsi="Tahoma" w:cs="Tahoma"/>
      <w:sz w:val="16"/>
      <w:szCs w:val="16"/>
    </w:rPr>
  </w:style>
  <w:style w:type="character" w:customStyle="1" w:styleId="ac">
    <w:name w:val="Текст выноски Знак"/>
    <w:basedOn w:val="a0"/>
    <w:link w:val="ab"/>
    <w:uiPriority w:val="99"/>
    <w:semiHidden/>
    <w:rsid w:val="0079773F"/>
    <w:rPr>
      <w:rFonts w:ascii="Tahoma" w:eastAsia="SimSun" w:hAnsi="Tahoma" w:cs="Tahoma"/>
      <w:sz w:val="16"/>
      <w:szCs w:val="16"/>
      <w:lang w:eastAsia="zh-CN"/>
    </w:rPr>
  </w:style>
  <w:style w:type="table" w:styleId="ad">
    <w:name w:val="Table Grid"/>
    <w:basedOn w:val="a1"/>
    <w:rsid w:val="002726E6"/>
    <w:pPr>
      <w:spacing w:after="0" w:line="240" w:lineRule="auto"/>
    </w:pPr>
    <w:rPr>
      <w:rFonts w:ascii="Times New Roman" w:eastAsia="SimSu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Revision"/>
    <w:hidden/>
    <w:uiPriority w:val="99"/>
    <w:semiHidden/>
    <w:rsid w:val="000E7926"/>
    <w:pPr>
      <w:spacing w:after="0" w:line="240" w:lineRule="auto"/>
    </w:pPr>
    <w:rPr>
      <w:rFonts w:ascii="Times New Roman" w:eastAsia="SimSun" w:hAnsi="Times New Roman" w:cs="Times New Roman"/>
      <w:sz w:val="24"/>
      <w:szCs w:val="24"/>
      <w:lang w:eastAsia="zh-CN"/>
    </w:rPr>
  </w:style>
  <w:style w:type="paragraph" w:styleId="af">
    <w:name w:val="Normal (Web)"/>
    <w:basedOn w:val="a"/>
    <w:uiPriority w:val="99"/>
    <w:unhideWhenUsed/>
    <w:rsid w:val="00AF30F4"/>
    <w:pPr>
      <w:spacing w:before="100" w:beforeAutospacing="1" w:after="100" w:afterAutospacing="1"/>
    </w:pPr>
    <w:rPr>
      <w:rFonts w:eastAsia="Times New Roman"/>
      <w:lang w:eastAsia="ru-RU"/>
    </w:rPr>
  </w:style>
  <w:style w:type="paragraph" w:styleId="af0">
    <w:name w:val="Body Text"/>
    <w:basedOn w:val="a"/>
    <w:link w:val="af1"/>
    <w:uiPriority w:val="99"/>
    <w:unhideWhenUsed/>
    <w:rsid w:val="00B57E67"/>
    <w:pPr>
      <w:spacing w:after="120"/>
    </w:pPr>
  </w:style>
  <w:style w:type="character" w:customStyle="1" w:styleId="af1">
    <w:name w:val="Основной текст Знак"/>
    <w:basedOn w:val="a0"/>
    <w:link w:val="af0"/>
    <w:uiPriority w:val="99"/>
    <w:rsid w:val="00B57E67"/>
    <w:rPr>
      <w:rFonts w:ascii="Times New Roman" w:eastAsia="SimSun" w:hAnsi="Times New Roman" w:cs="Times New Roman"/>
      <w:sz w:val="24"/>
      <w:szCs w:val="24"/>
      <w:lang w:eastAsia="zh-CN"/>
    </w:rPr>
  </w:style>
  <w:style w:type="paragraph" w:styleId="af2">
    <w:name w:val="Body Text Indent"/>
    <w:basedOn w:val="a"/>
    <w:link w:val="af3"/>
    <w:rsid w:val="00B57E67"/>
    <w:pPr>
      <w:widowControl w:val="0"/>
      <w:autoSpaceDE w:val="0"/>
      <w:autoSpaceDN w:val="0"/>
      <w:adjustRightInd w:val="0"/>
      <w:spacing w:after="120"/>
      <w:ind w:left="283" w:firstLine="720"/>
      <w:jc w:val="both"/>
    </w:pPr>
    <w:rPr>
      <w:rFonts w:eastAsia="Times New Roman" w:cs="Courier New"/>
      <w:sz w:val="28"/>
      <w:szCs w:val="28"/>
      <w:lang w:eastAsia="ru-RU"/>
    </w:rPr>
  </w:style>
  <w:style w:type="character" w:customStyle="1" w:styleId="af3">
    <w:name w:val="Основной текст с отступом Знак"/>
    <w:basedOn w:val="a0"/>
    <w:link w:val="af2"/>
    <w:rsid w:val="00B57E67"/>
    <w:rPr>
      <w:rFonts w:ascii="Times New Roman" w:eastAsia="Times New Roman" w:hAnsi="Times New Roman" w:cs="Courier New"/>
      <w:sz w:val="28"/>
      <w:szCs w:val="28"/>
      <w:lang w:eastAsia="ru-RU"/>
    </w:rPr>
  </w:style>
  <w:style w:type="paragraph" w:styleId="af4">
    <w:name w:val="caption"/>
    <w:basedOn w:val="a"/>
    <w:next w:val="a"/>
    <w:uiPriority w:val="35"/>
    <w:unhideWhenUsed/>
    <w:qFormat/>
    <w:rsid w:val="00862B81"/>
    <w:pPr>
      <w:spacing w:after="200"/>
    </w:pPr>
    <w:rPr>
      <w:b/>
      <w:bCs/>
      <w:color w:val="4F81BD" w:themeColor="accent1"/>
      <w:sz w:val="18"/>
      <w:szCs w:val="18"/>
    </w:rPr>
  </w:style>
  <w:style w:type="paragraph" w:styleId="af5">
    <w:name w:val="footnote text"/>
    <w:basedOn w:val="a"/>
    <w:link w:val="af6"/>
    <w:uiPriority w:val="99"/>
    <w:semiHidden/>
    <w:unhideWhenUsed/>
    <w:rsid w:val="00787D44"/>
    <w:pPr>
      <w:ind w:firstLine="709"/>
      <w:jc w:val="both"/>
    </w:pPr>
    <w:rPr>
      <w:rFonts w:ascii="Arial" w:eastAsia="Times New Roman" w:hAnsi="Arial"/>
      <w:sz w:val="20"/>
      <w:szCs w:val="20"/>
      <w:lang w:eastAsia="ru-RU"/>
    </w:rPr>
  </w:style>
  <w:style w:type="character" w:customStyle="1" w:styleId="af6">
    <w:name w:val="Текст сноски Знак"/>
    <w:basedOn w:val="a0"/>
    <w:link w:val="af5"/>
    <w:uiPriority w:val="99"/>
    <w:semiHidden/>
    <w:rsid w:val="00787D44"/>
    <w:rPr>
      <w:rFonts w:ascii="Arial" w:eastAsia="Times New Roman" w:hAnsi="Arial" w:cs="Times New Roman"/>
      <w:sz w:val="20"/>
      <w:szCs w:val="20"/>
      <w:lang w:eastAsia="ru-RU"/>
    </w:rPr>
  </w:style>
  <w:style w:type="character" w:styleId="af7">
    <w:name w:val="footnote reference"/>
    <w:basedOn w:val="a0"/>
    <w:uiPriority w:val="99"/>
    <w:semiHidden/>
    <w:unhideWhenUsed/>
    <w:rsid w:val="00787D44"/>
    <w:rPr>
      <w:vertAlign w:val="superscript"/>
    </w:rPr>
  </w:style>
  <w:style w:type="paragraph" w:customStyle="1" w:styleId="21">
    <w:name w:val="Основной текст 21"/>
    <w:basedOn w:val="a"/>
    <w:rsid w:val="00787D44"/>
    <w:pPr>
      <w:widowControl w:val="0"/>
      <w:ind w:firstLine="709"/>
      <w:jc w:val="both"/>
    </w:pPr>
    <w:rPr>
      <w:rFonts w:ascii="Arial" w:eastAsia="Times New Roman" w:hAnsi="Arial"/>
      <w:sz w:val="28"/>
      <w:szCs w:val="20"/>
      <w:lang w:eastAsia="ru-RU"/>
    </w:rPr>
  </w:style>
  <w:style w:type="paragraph" w:customStyle="1" w:styleId="af8">
    <w:name w:val="Знак"/>
    <w:basedOn w:val="a"/>
    <w:rsid w:val="00ED5E88"/>
    <w:pPr>
      <w:spacing w:after="160" w:line="240" w:lineRule="exact"/>
    </w:pPr>
    <w:rPr>
      <w:rFonts w:ascii="Verdana" w:eastAsia="Times New Roman" w:hAnsi="Verdana"/>
      <w:sz w:val="20"/>
      <w:szCs w:val="20"/>
      <w:lang w:val="en-US" w:eastAsia="en-US"/>
    </w:rPr>
  </w:style>
  <w:style w:type="character" w:customStyle="1" w:styleId="10">
    <w:name w:val="Заголовок 1 Знак"/>
    <w:basedOn w:val="a0"/>
    <w:link w:val="1"/>
    <w:rsid w:val="00C07212"/>
    <w:rPr>
      <w:rFonts w:ascii="Arial" w:eastAsia="Times New Roman" w:hAnsi="Arial" w:cs="Arial"/>
      <w:b/>
      <w:bCs/>
      <w:color w:val="000080"/>
      <w:lang w:eastAsia="ru-RU"/>
    </w:rPr>
  </w:style>
  <w:style w:type="character" w:customStyle="1" w:styleId="af9">
    <w:name w:val="Основной текст_"/>
    <w:link w:val="11"/>
    <w:rsid w:val="004630DA"/>
    <w:rPr>
      <w:sz w:val="27"/>
      <w:szCs w:val="27"/>
      <w:shd w:val="clear" w:color="auto" w:fill="FFFFFF"/>
    </w:rPr>
  </w:style>
  <w:style w:type="paragraph" w:customStyle="1" w:styleId="11">
    <w:name w:val="Основной текст1"/>
    <w:basedOn w:val="a"/>
    <w:link w:val="af9"/>
    <w:rsid w:val="004630DA"/>
    <w:pPr>
      <w:shd w:val="clear" w:color="auto" w:fill="FFFFFF"/>
      <w:spacing w:after="240" w:line="318" w:lineRule="exact"/>
      <w:jc w:val="both"/>
    </w:pPr>
    <w:rPr>
      <w:rFonts w:asciiTheme="minorHAnsi" w:eastAsiaTheme="minorHAnsi" w:hAnsiTheme="minorHAnsi" w:cstheme="minorBidi"/>
      <w:sz w:val="27"/>
      <w:szCs w:val="27"/>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41EB"/>
    <w:pPr>
      <w:spacing w:after="0" w:line="240" w:lineRule="auto"/>
    </w:pPr>
    <w:rPr>
      <w:rFonts w:ascii="Times New Roman" w:eastAsia="SimSun" w:hAnsi="Times New Roman" w:cs="Times New Roman"/>
      <w:sz w:val="24"/>
      <w:szCs w:val="24"/>
      <w:lang w:eastAsia="zh-CN"/>
    </w:rPr>
  </w:style>
  <w:style w:type="paragraph" w:styleId="1">
    <w:name w:val="heading 1"/>
    <w:basedOn w:val="a"/>
    <w:next w:val="a"/>
    <w:link w:val="10"/>
    <w:qFormat/>
    <w:rsid w:val="00C07212"/>
    <w:pPr>
      <w:widowControl w:val="0"/>
      <w:autoSpaceDE w:val="0"/>
      <w:autoSpaceDN w:val="0"/>
      <w:adjustRightInd w:val="0"/>
      <w:spacing w:before="108" w:after="108"/>
      <w:jc w:val="center"/>
      <w:outlineLvl w:val="0"/>
    </w:pPr>
    <w:rPr>
      <w:rFonts w:ascii="Arial" w:eastAsia="Times New Roman" w:hAnsi="Arial" w:cs="Arial"/>
      <w:b/>
      <w:bCs/>
      <w:color w:val="000080"/>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BD41E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3">
    <w:name w:val="List Paragraph"/>
    <w:basedOn w:val="a"/>
    <w:link w:val="a4"/>
    <w:uiPriority w:val="34"/>
    <w:qFormat/>
    <w:rsid w:val="00BD41EB"/>
    <w:pPr>
      <w:spacing w:after="200" w:line="276" w:lineRule="auto"/>
      <w:ind w:left="720"/>
      <w:contextualSpacing/>
    </w:pPr>
    <w:rPr>
      <w:rFonts w:ascii="Calibri" w:eastAsia="Calibri" w:hAnsi="Calibri"/>
      <w:sz w:val="22"/>
      <w:szCs w:val="22"/>
      <w:lang w:eastAsia="en-US"/>
    </w:rPr>
  </w:style>
  <w:style w:type="character" w:customStyle="1" w:styleId="a4">
    <w:name w:val="Абзац списка Знак"/>
    <w:link w:val="a3"/>
    <w:uiPriority w:val="34"/>
    <w:locked/>
    <w:rsid w:val="00BD41EB"/>
    <w:rPr>
      <w:rFonts w:ascii="Calibri" w:eastAsia="Calibri" w:hAnsi="Calibri" w:cs="Times New Roman"/>
    </w:rPr>
  </w:style>
  <w:style w:type="character" w:styleId="a5">
    <w:name w:val="Hyperlink"/>
    <w:uiPriority w:val="99"/>
    <w:unhideWhenUsed/>
    <w:rsid w:val="00BD41EB"/>
    <w:rPr>
      <w:color w:val="0000FF"/>
      <w:u w:val="single"/>
    </w:rPr>
  </w:style>
  <w:style w:type="paragraph" w:customStyle="1" w:styleId="ConsPlusTitle">
    <w:name w:val="ConsPlusTitle"/>
    <w:uiPriority w:val="99"/>
    <w:rsid w:val="00BD41EB"/>
    <w:pPr>
      <w:widowControl w:val="0"/>
      <w:autoSpaceDE w:val="0"/>
      <w:autoSpaceDN w:val="0"/>
      <w:adjustRightInd w:val="0"/>
      <w:spacing w:after="0" w:line="240" w:lineRule="auto"/>
    </w:pPr>
    <w:rPr>
      <w:rFonts w:ascii="Calibri" w:eastAsia="Times New Roman" w:hAnsi="Calibri" w:cs="Calibri"/>
      <w:b/>
      <w:bCs/>
      <w:lang w:eastAsia="ru-RU"/>
    </w:rPr>
  </w:style>
  <w:style w:type="paragraph" w:styleId="3">
    <w:name w:val="Body Text 3"/>
    <w:basedOn w:val="a"/>
    <w:link w:val="30"/>
    <w:rsid w:val="00BD41EB"/>
    <w:pPr>
      <w:spacing w:after="120"/>
    </w:pPr>
    <w:rPr>
      <w:sz w:val="16"/>
      <w:szCs w:val="16"/>
    </w:rPr>
  </w:style>
  <w:style w:type="character" w:customStyle="1" w:styleId="30">
    <w:name w:val="Основной текст 3 Знак"/>
    <w:basedOn w:val="a0"/>
    <w:link w:val="3"/>
    <w:rsid w:val="00BD41EB"/>
    <w:rPr>
      <w:rFonts w:ascii="Times New Roman" w:eastAsia="SimSun" w:hAnsi="Times New Roman" w:cs="Times New Roman"/>
      <w:sz w:val="16"/>
      <w:szCs w:val="16"/>
      <w:lang w:eastAsia="zh-CN"/>
    </w:rPr>
  </w:style>
  <w:style w:type="paragraph" w:styleId="a6">
    <w:name w:val="header"/>
    <w:basedOn w:val="a"/>
    <w:link w:val="a7"/>
    <w:unhideWhenUsed/>
    <w:rsid w:val="00FD77E0"/>
    <w:pPr>
      <w:tabs>
        <w:tab w:val="center" w:pos="4677"/>
        <w:tab w:val="right" w:pos="9355"/>
      </w:tabs>
    </w:pPr>
  </w:style>
  <w:style w:type="character" w:customStyle="1" w:styleId="a7">
    <w:name w:val="Верхний колонтитул Знак"/>
    <w:basedOn w:val="a0"/>
    <w:link w:val="a6"/>
    <w:rsid w:val="00FD77E0"/>
    <w:rPr>
      <w:rFonts w:ascii="Times New Roman" w:eastAsia="SimSun" w:hAnsi="Times New Roman" w:cs="Times New Roman"/>
      <w:sz w:val="24"/>
      <w:szCs w:val="24"/>
      <w:lang w:eastAsia="zh-CN"/>
    </w:rPr>
  </w:style>
  <w:style w:type="paragraph" w:styleId="a8">
    <w:name w:val="footer"/>
    <w:basedOn w:val="a"/>
    <w:link w:val="a9"/>
    <w:uiPriority w:val="99"/>
    <w:unhideWhenUsed/>
    <w:rsid w:val="00FD77E0"/>
    <w:pPr>
      <w:tabs>
        <w:tab w:val="center" w:pos="4677"/>
        <w:tab w:val="right" w:pos="9355"/>
      </w:tabs>
    </w:pPr>
  </w:style>
  <w:style w:type="character" w:customStyle="1" w:styleId="a9">
    <w:name w:val="Нижний колонтитул Знак"/>
    <w:basedOn w:val="a0"/>
    <w:link w:val="a8"/>
    <w:uiPriority w:val="99"/>
    <w:rsid w:val="00FD77E0"/>
    <w:rPr>
      <w:rFonts w:ascii="Times New Roman" w:eastAsia="SimSun" w:hAnsi="Times New Roman" w:cs="Times New Roman"/>
      <w:sz w:val="24"/>
      <w:szCs w:val="24"/>
      <w:lang w:eastAsia="zh-CN"/>
    </w:rPr>
  </w:style>
  <w:style w:type="character" w:styleId="aa">
    <w:name w:val="FollowedHyperlink"/>
    <w:basedOn w:val="a0"/>
    <w:uiPriority w:val="99"/>
    <w:semiHidden/>
    <w:unhideWhenUsed/>
    <w:rsid w:val="00A25541"/>
    <w:rPr>
      <w:color w:val="800080" w:themeColor="followedHyperlink"/>
      <w:u w:val="single"/>
    </w:rPr>
  </w:style>
  <w:style w:type="paragraph" w:styleId="ab">
    <w:name w:val="Balloon Text"/>
    <w:basedOn w:val="a"/>
    <w:link w:val="ac"/>
    <w:uiPriority w:val="99"/>
    <w:semiHidden/>
    <w:unhideWhenUsed/>
    <w:rsid w:val="0079773F"/>
    <w:rPr>
      <w:rFonts w:ascii="Tahoma" w:hAnsi="Tahoma" w:cs="Tahoma"/>
      <w:sz w:val="16"/>
      <w:szCs w:val="16"/>
    </w:rPr>
  </w:style>
  <w:style w:type="character" w:customStyle="1" w:styleId="ac">
    <w:name w:val="Текст выноски Знак"/>
    <w:basedOn w:val="a0"/>
    <w:link w:val="ab"/>
    <w:uiPriority w:val="99"/>
    <w:semiHidden/>
    <w:rsid w:val="0079773F"/>
    <w:rPr>
      <w:rFonts w:ascii="Tahoma" w:eastAsia="SimSun" w:hAnsi="Tahoma" w:cs="Tahoma"/>
      <w:sz w:val="16"/>
      <w:szCs w:val="16"/>
      <w:lang w:eastAsia="zh-CN"/>
    </w:rPr>
  </w:style>
  <w:style w:type="table" w:styleId="ad">
    <w:name w:val="Table Grid"/>
    <w:basedOn w:val="a1"/>
    <w:rsid w:val="002726E6"/>
    <w:pPr>
      <w:spacing w:after="0" w:line="240" w:lineRule="auto"/>
    </w:pPr>
    <w:rPr>
      <w:rFonts w:ascii="Times New Roman" w:eastAsia="SimSu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Revision"/>
    <w:hidden/>
    <w:uiPriority w:val="99"/>
    <w:semiHidden/>
    <w:rsid w:val="000E7926"/>
    <w:pPr>
      <w:spacing w:after="0" w:line="240" w:lineRule="auto"/>
    </w:pPr>
    <w:rPr>
      <w:rFonts w:ascii="Times New Roman" w:eastAsia="SimSun" w:hAnsi="Times New Roman" w:cs="Times New Roman"/>
      <w:sz w:val="24"/>
      <w:szCs w:val="24"/>
      <w:lang w:eastAsia="zh-CN"/>
    </w:rPr>
  </w:style>
  <w:style w:type="paragraph" w:styleId="af">
    <w:name w:val="Normal (Web)"/>
    <w:basedOn w:val="a"/>
    <w:uiPriority w:val="99"/>
    <w:unhideWhenUsed/>
    <w:rsid w:val="00AF30F4"/>
    <w:pPr>
      <w:spacing w:before="100" w:beforeAutospacing="1" w:after="100" w:afterAutospacing="1"/>
    </w:pPr>
    <w:rPr>
      <w:rFonts w:eastAsia="Times New Roman"/>
      <w:lang w:eastAsia="ru-RU"/>
    </w:rPr>
  </w:style>
  <w:style w:type="paragraph" w:styleId="af0">
    <w:name w:val="Body Text"/>
    <w:basedOn w:val="a"/>
    <w:link w:val="af1"/>
    <w:uiPriority w:val="99"/>
    <w:unhideWhenUsed/>
    <w:rsid w:val="00B57E67"/>
    <w:pPr>
      <w:spacing w:after="120"/>
    </w:pPr>
  </w:style>
  <w:style w:type="character" w:customStyle="1" w:styleId="af1">
    <w:name w:val="Основной текст Знак"/>
    <w:basedOn w:val="a0"/>
    <w:link w:val="af0"/>
    <w:uiPriority w:val="99"/>
    <w:rsid w:val="00B57E67"/>
    <w:rPr>
      <w:rFonts w:ascii="Times New Roman" w:eastAsia="SimSun" w:hAnsi="Times New Roman" w:cs="Times New Roman"/>
      <w:sz w:val="24"/>
      <w:szCs w:val="24"/>
      <w:lang w:eastAsia="zh-CN"/>
    </w:rPr>
  </w:style>
  <w:style w:type="paragraph" w:styleId="af2">
    <w:name w:val="Body Text Indent"/>
    <w:basedOn w:val="a"/>
    <w:link w:val="af3"/>
    <w:rsid w:val="00B57E67"/>
    <w:pPr>
      <w:widowControl w:val="0"/>
      <w:autoSpaceDE w:val="0"/>
      <w:autoSpaceDN w:val="0"/>
      <w:adjustRightInd w:val="0"/>
      <w:spacing w:after="120"/>
      <w:ind w:left="283" w:firstLine="720"/>
      <w:jc w:val="both"/>
    </w:pPr>
    <w:rPr>
      <w:rFonts w:eastAsia="Times New Roman" w:cs="Courier New"/>
      <w:sz w:val="28"/>
      <w:szCs w:val="28"/>
      <w:lang w:eastAsia="ru-RU"/>
    </w:rPr>
  </w:style>
  <w:style w:type="character" w:customStyle="1" w:styleId="af3">
    <w:name w:val="Основной текст с отступом Знак"/>
    <w:basedOn w:val="a0"/>
    <w:link w:val="af2"/>
    <w:rsid w:val="00B57E67"/>
    <w:rPr>
      <w:rFonts w:ascii="Times New Roman" w:eastAsia="Times New Roman" w:hAnsi="Times New Roman" w:cs="Courier New"/>
      <w:sz w:val="28"/>
      <w:szCs w:val="28"/>
      <w:lang w:eastAsia="ru-RU"/>
    </w:rPr>
  </w:style>
  <w:style w:type="paragraph" w:styleId="af4">
    <w:name w:val="caption"/>
    <w:basedOn w:val="a"/>
    <w:next w:val="a"/>
    <w:uiPriority w:val="35"/>
    <w:unhideWhenUsed/>
    <w:qFormat/>
    <w:rsid w:val="00862B81"/>
    <w:pPr>
      <w:spacing w:after="200"/>
    </w:pPr>
    <w:rPr>
      <w:b/>
      <w:bCs/>
      <w:color w:val="4F81BD" w:themeColor="accent1"/>
      <w:sz w:val="18"/>
      <w:szCs w:val="18"/>
    </w:rPr>
  </w:style>
  <w:style w:type="paragraph" w:styleId="af5">
    <w:name w:val="footnote text"/>
    <w:basedOn w:val="a"/>
    <w:link w:val="af6"/>
    <w:uiPriority w:val="99"/>
    <w:semiHidden/>
    <w:unhideWhenUsed/>
    <w:rsid w:val="00787D44"/>
    <w:pPr>
      <w:ind w:firstLine="709"/>
      <w:jc w:val="both"/>
    </w:pPr>
    <w:rPr>
      <w:rFonts w:ascii="Arial" w:eastAsia="Times New Roman" w:hAnsi="Arial"/>
      <w:sz w:val="20"/>
      <w:szCs w:val="20"/>
      <w:lang w:eastAsia="ru-RU"/>
    </w:rPr>
  </w:style>
  <w:style w:type="character" w:customStyle="1" w:styleId="af6">
    <w:name w:val="Текст сноски Знак"/>
    <w:basedOn w:val="a0"/>
    <w:link w:val="af5"/>
    <w:uiPriority w:val="99"/>
    <w:semiHidden/>
    <w:rsid w:val="00787D44"/>
    <w:rPr>
      <w:rFonts w:ascii="Arial" w:eastAsia="Times New Roman" w:hAnsi="Arial" w:cs="Times New Roman"/>
      <w:sz w:val="20"/>
      <w:szCs w:val="20"/>
      <w:lang w:eastAsia="ru-RU"/>
    </w:rPr>
  </w:style>
  <w:style w:type="character" w:styleId="af7">
    <w:name w:val="footnote reference"/>
    <w:basedOn w:val="a0"/>
    <w:uiPriority w:val="99"/>
    <w:semiHidden/>
    <w:unhideWhenUsed/>
    <w:rsid w:val="00787D44"/>
    <w:rPr>
      <w:vertAlign w:val="superscript"/>
    </w:rPr>
  </w:style>
  <w:style w:type="paragraph" w:customStyle="1" w:styleId="21">
    <w:name w:val="Основной текст 21"/>
    <w:basedOn w:val="a"/>
    <w:rsid w:val="00787D44"/>
    <w:pPr>
      <w:widowControl w:val="0"/>
      <w:ind w:firstLine="709"/>
      <w:jc w:val="both"/>
    </w:pPr>
    <w:rPr>
      <w:rFonts w:ascii="Arial" w:eastAsia="Times New Roman" w:hAnsi="Arial"/>
      <w:sz w:val="28"/>
      <w:szCs w:val="20"/>
      <w:lang w:eastAsia="ru-RU"/>
    </w:rPr>
  </w:style>
  <w:style w:type="paragraph" w:customStyle="1" w:styleId="af8">
    <w:name w:val="Знак"/>
    <w:basedOn w:val="a"/>
    <w:rsid w:val="00ED5E88"/>
    <w:pPr>
      <w:spacing w:after="160" w:line="240" w:lineRule="exact"/>
    </w:pPr>
    <w:rPr>
      <w:rFonts w:ascii="Verdana" w:eastAsia="Times New Roman" w:hAnsi="Verdana"/>
      <w:sz w:val="20"/>
      <w:szCs w:val="20"/>
      <w:lang w:val="en-US" w:eastAsia="en-US"/>
    </w:rPr>
  </w:style>
  <w:style w:type="character" w:customStyle="1" w:styleId="10">
    <w:name w:val="Заголовок 1 Знак"/>
    <w:basedOn w:val="a0"/>
    <w:link w:val="1"/>
    <w:rsid w:val="00C07212"/>
    <w:rPr>
      <w:rFonts w:ascii="Arial" w:eastAsia="Times New Roman" w:hAnsi="Arial" w:cs="Arial"/>
      <w:b/>
      <w:bCs/>
      <w:color w:val="000080"/>
      <w:lang w:eastAsia="ru-RU"/>
    </w:rPr>
  </w:style>
  <w:style w:type="character" w:customStyle="1" w:styleId="af9">
    <w:name w:val="Основной текст_"/>
    <w:link w:val="11"/>
    <w:rsid w:val="004630DA"/>
    <w:rPr>
      <w:sz w:val="27"/>
      <w:szCs w:val="27"/>
      <w:shd w:val="clear" w:color="auto" w:fill="FFFFFF"/>
    </w:rPr>
  </w:style>
  <w:style w:type="paragraph" w:customStyle="1" w:styleId="11">
    <w:name w:val="Основной текст1"/>
    <w:basedOn w:val="a"/>
    <w:link w:val="af9"/>
    <w:rsid w:val="004630DA"/>
    <w:pPr>
      <w:shd w:val="clear" w:color="auto" w:fill="FFFFFF"/>
      <w:spacing w:after="240" w:line="318" w:lineRule="exact"/>
      <w:jc w:val="both"/>
    </w:pPr>
    <w:rPr>
      <w:rFonts w:asciiTheme="minorHAnsi" w:eastAsiaTheme="minorHAnsi" w:hAnsiTheme="minorHAnsi" w:cstheme="minorBidi"/>
      <w:sz w:val="27"/>
      <w:szCs w:val="27"/>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4266757">
      <w:bodyDiv w:val="1"/>
      <w:marLeft w:val="0"/>
      <w:marRight w:val="0"/>
      <w:marTop w:val="0"/>
      <w:marBottom w:val="0"/>
      <w:divBdr>
        <w:top w:val="none" w:sz="0" w:space="0" w:color="auto"/>
        <w:left w:val="none" w:sz="0" w:space="0" w:color="auto"/>
        <w:bottom w:val="none" w:sz="0" w:space="0" w:color="auto"/>
        <w:right w:val="none" w:sz="0" w:space="0" w:color="auto"/>
      </w:divBdr>
    </w:div>
    <w:div w:id="350379209">
      <w:bodyDiv w:val="1"/>
      <w:marLeft w:val="0"/>
      <w:marRight w:val="0"/>
      <w:marTop w:val="0"/>
      <w:marBottom w:val="0"/>
      <w:divBdr>
        <w:top w:val="none" w:sz="0" w:space="0" w:color="auto"/>
        <w:left w:val="none" w:sz="0" w:space="0" w:color="auto"/>
        <w:bottom w:val="none" w:sz="0" w:space="0" w:color="auto"/>
        <w:right w:val="none" w:sz="0" w:space="0" w:color="auto"/>
      </w:divBdr>
    </w:div>
    <w:div w:id="481505537">
      <w:bodyDiv w:val="1"/>
      <w:marLeft w:val="0"/>
      <w:marRight w:val="0"/>
      <w:marTop w:val="0"/>
      <w:marBottom w:val="0"/>
      <w:divBdr>
        <w:top w:val="none" w:sz="0" w:space="0" w:color="auto"/>
        <w:left w:val="none" w:sz="0" w:space="0" w:color="auto"/>
        <w:bottom w:val="none" w:sz="0" w:space="0" w:color="auto"/>
        <w:right w:val="none" w:sz="0" w:space="0" w:color="auto"/>
      </w:divBdr>
    </w:div>
    <w:div w:id="828980649">
      <w:bodyDiv w:val="1"/>
      <w:marLeft w:val="0"/>
      <w:marRight w:val="0"/>
      <w:marTop w:val="0"/>
      <w:marBottom w:val="0"/>
      <w:divBdr>
        <w:top w:val="none" w:sz="0" w:space="0" w:color="auto"/>
        <w:left w:val="none" w:sz="0" w:space="0" w:color="auto"/>
        <w:bottom w:val="none" w:sz="0" w:space="0" w:color="auto"/>
        <w:right w:val="none" w:sz="0" w:space="0" w:color="auto"/>
      </w:divBdr>
    </w:div>
    <w:div w:id="872112707">
      <w:bodyDiv w:val="1"/>
      <w:marLeft w:val="0"/>
      <w:marRight w:val="0"/>
      <w:marTop w:val="0"/>
      <w:marBottom w:val="0"/>
      <w:divBdr>
        <w:top w:val="none" w:sz="0" w:space="0" w:color="auto"/>
        <w:left w:val="none" w:sz="0" w:space="0" w:color="auto"/>
        <w:bottom w:val="none" w:sz="0" w:space="0" w:color="auto"/>
        <w:right w:val="none" w:sz="0" w:space="0" w:color="auto"/>
      </w:divBdr>
    </w:div>
    <w:div w:id="1022364044">
      <w:bodyDiv w:val="1"/>
      <w:marLeft w:val="0"/>
      <w:marRight w:val="0"/>
      <w:marTop w:val="0"/>
      <w:marBottom w:val="0"/>
      <w:divBdr>
        <w:top w:val="none" w:sz="0" w:space="0" w:color="auto"/>
        <w:left w:val="none" w:sz="0" w:space="0" w:color="auto"/>
        <w:bottom w:val="none" w:sz="0" w:space="0" w:color="auto"/>
        <w:right w:val="none" w:sz="0" w:space="0" w:color="auto"/>
      </w:divBdr>
    </w:div>
    <w:div w:id="1094520378">
      <w:bodyDiv w:val="1"/>
      <w:marLeft w:val="0"/>
      <w:marRight w:val="0"/>
      <w:marTop w:val="0"/>
      <w:marBottom w:val="0"/>
      <w:divBdr>
        <w:top w:val="none" w:sz="0" w:space="0" w:color="auto"/>
        <w:left w:val="none" w:sz="0" w:space="0" w:color="auto"/>
        <w:bottom w:val="none" w:sz="0" w:space="0" w:color="auto"/>
        <w:right w:val="none" w:sz="0" w:space="0" w:color="auto"/>
      </w:divBdr>
    </w:div>
    <w:div w:id="1421214110">
      <w:bodyDiv w:val="1"/>
      <w:marLeft w:val="0"/>
      <w:marRight w:val="0"/>
      <w:marTop w:val="0"/>
      <w:marBottom w:val="0"/>
      <w:divBdr>
        <w:top w:val="none" w:sz="0" w:space="0" w:color="auto"/>
        <w:left w:val="none" w:sz="0" w:space="0" w:color="auto"/>
        <w:bottom w:val="none" w:sz="0" w:space="0" w:color="auto"/>
        <w:right w:val="none" w:sz="0" w:space="0" w:color="auto"/>
      </w:divBdr>
    </w:div>
    <w:div w:id="1509522913">
      <w:bodyDiv w:val="1"/>
      <w:marLeft w:val="0"/>
      <w:marRight w:val="0"/>
      <w:marTop w:val="0"/>
      <w:marBottom w:val="0"/>
      <w:divBdr>
        <w:top w:val="none" w:sz="0" w:space="0" w:color="auto"/>
        <w:left w:val="none" w:sz="0" w:space="0" w:color="auto"/>
        <w:bottom w:val="none" w:sz="0" w:space="0" w:color="auto"/>
        <w:right w:val="none" w:sz="0" w:space="0" w:color="auto"/>
      </w:divBdr>
    </w:div>
    <w:div w:id="1669749871">
      <w:bodyDiv w:val="1"/>
      <w:marLeft w:val="0"/>
      <w:marRight w:val="0"/>
      <w:marTop w:val="0"/>
      <w:marBottom w:val="0"/>
      <w:divBdr>
        <w:top w:val="none" w:sz="0" w:space="0" w:color="auto"/>
        <w:left w:val="none" w:sz="0" w:space="0" w:color="auto"/>
        <w:bottom w:val="none" w:sz="0" w:space="0" w:color="auto"/>
        <w:right w:val="none" w:sz="0" w:space="0" w:color="auto"/>
      </w:divBdr>
    </w:div>
    <w:div w:id="1829905107">
      <w:bodyDiv w:val="1"/>
      <w:marLeft w:val="0"/>
      <w:marRight w:val="0"/>
      <w:marTop w:val="0"/>
      <w:marBottom w:val="0"/>
      <w:divBdr>
        <w:top w:val="none" w:sz="0" w:space="0" w:color="auto"/>
        <w:left w:val="none" w:sz="0" w:space="0" w:color="auto"/>
        <w:bottom w:val="none" w:sz="0" w:space="0" w:color="auto"/>
        <w:right w:val="none" w:sz="0" w:space="0" w:color="auto"/>
      </w:divBdr>
    </w:div>
    <w:div w:id="1868132223">
      <w:bodyDiv w:val="1"/>
      <w:marLeft w:val="0"/>
      <w:marRight w:val="0"/>
      <w:marTop w:val="0"/>
      <w:marBottom w:val="0"/>
      <w:divBdr>
        <w:top w:val="none" w:sz="0" w:space="0" w:color="auto"/>
        <w:left w:val="none" w:sz="0" w:space="0" w:color="auto"/>
        <w:bottom w:val="none" w:sz="0" w:space="0" w:color="auto"/>
        <w:right w:val="none" w:sz="0" w:space="0" w:color="auto"/>
      </w:divBdr>
    </w:div>
    <w:div w:id="1894929044">
      <w:bodyDiv w:val="1"/>
      <w:marLeft w:val="0"/>
      <w:marRight w:val="0"/>
      <w:marTop w:val="0"/>
      <w:marBottom w:val="0"/>
      <w:divBdr>
        <w:top w:val="none" w:sz="0" w:space="0" w:color="auto"/>
        <w:left w:val="none" w:sz="0" w:space="0" w:color="auto"/>
        <w:bottom w:val="none" w:sz="0" w:space="0" w:color="auto"/>
        <w:right w:val="none" w:sz="0" w:space="0" w:color="auto"/>
      </w:divBdr>
    </w:div>
    <w:div w:id="2019428393">
      <w:bodyDiv w:val="1"/>
      <w:marLeft w:val="0"/>
      <w:marRight w:val="0"/>
      <w:marTop w:val="0"/>
      <w:marBottom w:val="0"/>
      <w:divBdr>
        <w:top w:val="none" w:sz="0" w:space="0" w:color="auto"/>
        <w:left w:val="none" w:sz="0" w:space="0" w:color="auto"/>
        <w:bottom w:val="none" w:sz="0" w:space="0" w:color="auto"/>
        <w:right w:val="none" w:sz="0" w:space="0" w:color="auto"/>
      </w:divBdr>
    </w:div>
    <w:div w:id="213320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10.xml"/><Relationship Id="rId34"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chart" Target="charts/chart14.xml"/><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9304B4EA9BC881D63261405E57113624BF8950C4816854B03D2A3F6CB3CAB54CCEF37FFFB3C62AAEpAVDF" TargetMode="External"/><Relationship Id="rId24" Type="http://schemas.openxmlformats.org/officeDocument/2006/relationships/chart" Target="charts/chart13.xml"/><Relationship Id="rId32" Type="http://schemas.openxmlformats.org/officeDocument/2006/relationships/image" Target="media/image10.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chart" Target="charts/chart17.xml"/><Relationship Id="rId36" Type="http://schemas.openxmlformats.org/officeDocument/2006/relationships/footer" Target="footer2.xml"/><Relationship Id="rId10" Type="http://schemas.openxmlformats.org/officeDocument/2006/relationships/hyperlink" Target="consultantplus://offline/ref=9304B4EA9BC881D63261405E57113624BF885FC2876D54B03D2A3F6CB3CAB54CCEF37FFFB3C62AAFpAV7F" TargetMode="External"/><Relationship Id="rId19" Type="http://schemas.openxmlformats.org/officeDocument/2006/relationships/chart" Target="charts/chart8.xml"/><Relationship Id="rId31" Type="http://schemas.openxmlformats.org/officeDocument/2006/relationships/hyperlink" Target="http://www.kamchatka.gov.ru/?cont=mun_din&amp;menu=8&amp;menu2=0&amp;id=212"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chart" Target="charts/chart3.xml"/><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image" Target="media/image9.png"/><Relationship Id="rId35" Type="http://schemas.openxmlformats.org/officeDocument/2006/relationships/footer" Target="footer1.xml"/></Relationships>
</file>

<file path=word/charts/_rels/chart1.xml.rels><?xml version="1.0" encoding="UTF-8" standalone="yes"?>
<Relationships xmlns="http://schemas.openxmlformats.org/package/2006/relationships"><Relationship Id="rId2"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2%20&#1084;&#1072;&#1083;&#1086;&#1077;%20&#1087;&#1088;&#1077;&#1076;&#1087;&#1088;&#1080;&#1085;&#1080;&#1084;&#1072;&#1090;&#1077;&#1083;&#1100;&#1089;&#1090;&#1074;&#1086;%20).xlsx" TargetMode="External"/><Relationship Id="rId1" Type="http://schemas.openxmlformats.org/officeDocument/2006/relationships/image" Target="../media/image2.jpeg"/></Relationships>
</file>

<file path=word/charts/_rels/chart2.xml.rels><?xml version="1.0" encoding="UTF-8" standalone="yes"?>
<Relationships xmlns="http://schemas.openxmlformats.org/package/2006/relationships"><Relationship Id="rId2"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3%20&#1084;&#1072;&#1083;&#1086;&#1077;%20&#1087;&#1088;&#1077;&#1076;&#1087;&#1088;&#1080;&#1085;&#1080;&#1084;&#1072;&#1090;&#1077;&#1083;&#1100;&#1089;&#1090;&#1074;&#1086;.xlsx" TargetMode="External"/><Relationship Id="rId1" Type="http://schemas.openxmlformats.org/officeDocument/2006/relationships/image" Target="../media/image2.jpeg"/></Relationships>
</file>

<file path=word/charts/_rels/chart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 Id="rId5"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7;&#1086;&#1082;&#1072;&#1079;&#1072;&#1090;&#1077;&#1083;&#1100;%205.xlsx" TargetMode="External"/><Relationship Id="rId4" Type="http://schemas.openxmlformats.org/officeDocument/2006/relationships/image" Target="../media/image5.jpeg"/></Relationships>
</file>

<file path=word/charts/_rels/chart4.xml.rels><?xml version="1.0" encoding="UTF-8" standalone="yes"?>
<Relationships xmlns="http://schemas.openxmlformats.org/package/2006/relationships"><Relationship Id="rId1"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5%20&#1101;&#1082;&#1086;&#1085;&#1086;&#1084;&#1088;&#1072;&#1079;&#1074;&#1080;&#1090;&#1080;&#1077;%20&#8470;%201%2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6%20&#1101;&#1082;&#1086;&#1085;&#1086;&#1084;&#1088;&#1072;&#1079;&#1074;&#1080;&#1090;&#1080;&#1077;%20&#1043;&#1054;.xlsx" TargetMode="External"/></Relationships>
</file>

<file path=word/charts/_rels/chart6.xml.rels><?xml version="1.0" encoding="UTF-8" standalone="yes"?>
<Relationships xmlns="http://schemas.openxmlformats.org/package/2006/relationships"><Relationship Id="rId2"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7%20&#1086;&#1090;&#1085;&#1086;&#1096;&#1077;&#1085;&#1080;&#1077;%20&#1079;&#1087;&#1043;&#1054;.xlsx" TargetMode="External"/><Relationship Id="rId1" Type="http://schemas.openxmlformats.org/officeDocument/2006/relationships/image" Target="../media/image2.jpeg"/></Relationships>
</file>

<file path=word/charts/_rels/chart7.xml.rels><?xml version="1.0" encoding="UTF-8" standalone="yes"?>
<Relationships xmlns="http://schemas.openxmlformats.org/package/2006/relationships"><Relationship Id="rId2"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8%20&#1086;&#1090;&#1085;&#1086;&#1096;&#1077;&#1085;&#1080;&#1077;%20&#1079;&#1087;%20&#1043;&#1054;.xlsx" TargetMode="External"/><Relationship Id="rId1" Type="http://schemas.openxmlformats.org/officeDocument/2006/relationships/image" Target="../media/image2.jpeg"/></Relationships>
</file>

<file path=word/charts/_rels/chart8.xml.rels><?xml version="1.0" encoding="UTF-8" standalone="yes"?>
<Relationships xmlns="http://schemas.openxmlformats.org/package/2006/relationships"><Relationship Id="rId2"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9%20%20!!!%20&#1076;&#1086;&#1096;&#1082;&#1086;&#1083;&#1100;&#1085;&#1086;&#1077;&#1052;&#1056;.xlsx" TargetMode="External"/><Relationship Id="rId1" Type="http://schemas.openxmlformats.org/officeDocument/2006/relationships/image" Target="../media/image2.jpeg"/></Relationships>
</file>

<file path=word/charts/_rels/chart9.xml.rels><?xml version="1.0" encoding="UTF-8" standalone="yes"?>
<Relationships xmlns="http://schemas.openxmlformats.org/package/2006/relationships"><Relationship Id="rId2"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10%20&#1076;&#1086;&#1096;&#1082;&#1086;&#1083;&#1100;&#1085;&#1086;&#1077;&#1043;&#1054;.xlsx" TargetMode="External"/><Relationship Id="rId1" Type="http://schemas.openxmlformats.org/officeDocument/2006/relationships/image" Target="../media/image2.jpeg"/></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image" Target="../media/image2.jpeg"/></Relationships>
</file>

<file path=word/charts/_rels/chart11.xml.rels><?xml version="1.0" encoding="UTF-8" standalone="yes"?>
<Relationships xmlns="http://schemas.openxmlformats.org/package/2006/relationships"><Relationship Id="rId2"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12%20&#1086;&#1073;&#1097;&#1077;&#1077;%20&#1086;&#1073;&#1088;&#1043;&#1054;.xlsx" TargetMode="External"/><Relationship Id="rId1" Type="http://schemas.openxmlformats.org/officeDocument/2006/relationships/image" Target="../media/image2.jpeg"/></Relationships>
</file>

<file path=word/charts/_rels/chart1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4"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13%20&#1082;&#1091;&#1083;&#1100;&#1090;&#1091;&#1088;&#1072;&#1052;&#1056;.xlsx" TargetMode="External"/></Relationships>
</file>

<file path=word/charts/_rels/chart13.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4"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14%20&#1082;&#1091;&#1083;&#1100;&#1090;&#1091;&#1088;&#1072;&#1043;&#1054;.xlsx" TargetMode="External"/></Relationships>
</file>

<file path=word/charts/_rels/chart14.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 Id="rId5"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7;&#1086;&#1082;&#1072;&#1079;&#1072;&#1090;&#1077;&#1083;&#1100;%2023.xlsx" TargetMode="External"/><Relationship Id="rId4" Type="http://schemas.openxmlformats.org/officeDocument/2006/relationships/image" Target="../media/image5.jpeg"/></Relationships>
</file>

<file path=word/charts/_rels/chart15.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5"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15%20&#1086;&#1073;&#1077;&#1089;&#1087;&#1077;&#1095;&#1077;&#1085;&#1080;&#1077;%20&#1078;&#1080;&#1083;&#1100;&#1077;&#1084;%20&#1052;&#1056;.xlsx" TargetMode="External"/><Relationship Id="rId4" Type="http://schemas.openxmlformats.org/officeDocument/2006/relationships/image" Target="../media/image3.jpeg"/></Relationships>
</file>

<file path=word/charts/_rels/chart16.xml.rels><?xml version="1.0" encoding="UTF-8" standalone="yes"?>
<Relationships xmlns="http://schemas.openxmlformats.org/package/2006/relationships"><Relationship Id="rId3"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17%20&#1078;&#1082;&#1093;%20&#1052;&#1056;.xlsx" TargetMode="External"/><Relationship Id="rId2" Type="http://schemas.openxmlformats.org/officeDocument/2006/relationships/image" Target="../media/image3.jpeg"/><Relationship Id="rId1" Type="http://schemas.openxmlformats.org/officeDocument/2006/relationships/image" Target="../media/image6.jpeg"/></Relationships>
</file>

<file path=word/charts/_rels/chart17.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5" Type="http://schemas.openxmlformats.org/officeDocument/2006/relationships/oleObject" Target="file:///D:\&#1042;&#1093;&#1086;&#1076;&#1103;&#1097;&#1080;&#1077;\&#1052;&#1086;&#1080;%20&#1076;&#1086;&#1082;&#1091;&#1084;&#1077;&#1085;&#1090;&#1099;\00%20LOGINOVA%20DOC\01&#1054;&#1094;&#1077;&#1085;&#1082;&#1072;%20&#1054;&#1052;&#1057;&#1059;\02.%20&#1054;&#1052;&#1057;&#1059;%20&#1069;&#1092;&#1092;&#1077;&#1082;&#1090;&#1080;&#1074;&#1085;&#1086;&#1089;&#1090;&#1100;%20&#1079;&#1072;%202014\!%20&#1057;&#1042;&#1054;&#1044;&#1053;&#1067;&#1049;%20&#1044;&#1054;&#1050;&#1051;&#1040;&#1044;,%20&#1044;&#1054;&#1050;&#1051;&#1040;&#1044;&#1067;%20&#1052;&#1056;%20&#1080;%20&#1043;&#1054;\&#1044;&#1054;&#1050;&#1051;&#1040;&#1044;%20&#1057;&#1042;&#1054;&#1044;&#1053;&#1067;&#1049;\&#1076;&#1080;&#1072;&#1075;&#1088;&#1072;&#1084;&#1084;&#1099;%202014\&#1088;&#1080;&#1089;%2018%20&#1084;&#1091;&#1085;&#1080;&#1094;&#1080;&#1087;&#1072;&#1083;&#1100;&#1085;&#1086;&#1077;%20&#1091;&#1087;&#1088;&#1072;&#1074;&#1083;&#1077;&#1085;&#1080;&#1077;.xlsx" TargetMode="External"/><Relationship Id="rId4" Type="http://schemas.openxmlformats.org/officeDocument/2006/relationships/image" Target="../media/image3.jpeg"/></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6"/>
      <c:rotY val="25"/>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4.5700087489063873E-2"/>
          <c:y val="0.33390286993749202"/>
          <c:w val="0.92834658171341411"/>
          <c:h val="0.43476815935211494"/>
        </c:manualLayout>
      </c:layout>
      <c:bar3DChart>
        <c:barDir val="col"/>
        <c:grouping val="standard"/>
        <c:varyColors val="0"/>
        <c:ser>
          <c:idx val="0"/>
          <c:order val="0"/>
          <c:tx>
            <c:strRef>
              <c:f>Лист1!$A$2</c:f>
              <c:strCache>
                <c:ptCount val="1"/>
                <c:pt idx="0">
                  <c:v>Число субъектов малого и среднего предпринимательства (в расчете на 10000 чел.населения)</c:v>
                </c:pt>
              </c:strCache>
            </c:strRef>
          </c:tx>
          <c:spPr>
            <a:pattFill prst="solidDmnd">
              <a:fgClr>
                <a:schemeClr val="accent2">
                  <a:lumMod val="75000"/>
                </a:schemeClr>
              </a:fgClr>
              <a:bgClr>
                <a:schemeClr val="bg2">
                  <a:lumMod val="50000"/>
                </a:schemeClr>
              </a:bgClr>
            </a:pattFill>
            <a:ln>
              <a:noFill/>
            </a:ln>
            <a:scene3d>
              <a:camera prst="orthographicFront"/>
              <a:lightRig rig="threePt" dir="t"/>
            </a:scene3d>
            <a:sp3d prstMaterial="metal"/>
          </c:spPr>
          <c:invertIfNegative val="0"/>
          <c:dLbls>
            <c:dLbl>
              <c:idx val="0"/>
              <c:layout>
                <c:manualLayout>
                  <c:x val="-1.0905234703866572E-2"/>
                  <c:y val="7.4809992517635537E-2"/>
                </c:manualLayout>
              </c:layout>
              <c:showLegendKey val="0"/>
              <c:showVal val="1"/>
              <c:showCatName val="0"/>
              <c:showSerName val="0"/>
              <c:showPercent val="0"/>
              <c:showBubbleSize val="0"/>
            </c:dLbl>
            <c:dLbl>
              <c:idx val="1"/>
              <c:layout>
                <c:manualLayout>
                  <c:x val="8.1974721778636066E-3"/>
                  <c:y val="0.12087663912564395"/>
                </c:manualLayout>
              </c:layout>
              <c:showLegendKey val="0"/>
              <c:showVal val="1"/>
              <c:showCatName val="0"/>
              <c:showSerName val="0"/>
              <c:showPercent val="0"/>
              <c:showBubbleSize val="0"/>
            </c:dLbl>
            <c:dLbl>
              <c:idx val="2"/>
              <c:layout>
                <c:manualLayout>
                  <c:x val="8.1974721778636066E-3"/>
                  <c:y val="9.1691357417513872E-2"/>
                </c:manualLayout>
              </c:layout>
              <c:showLegendKey val="0"/>
              <c:showVal val="1"/>
              <c:showCatName val="0"/>
              <c:showSerName val="0"/>
              <c:showPercent val="0"/>
              <c:showBubbleSize val="0"/>
            </c:dLbl>
            <c:dLbl>
              <c:idx val="3"/>
              <c:layout>
                <c:manualLayout>
                  <c:x val="8.1948887033810678E-3"/>
                  <c:y val="0.10419214489524449"/>
                </c:manualLayout>
              </c:layout>
              <c:showLegendKey val="0"/>
              <c:showVal val="1"/>
              <c:showCatName val="0"/>
              <c:showSerName val="0"/>
              <c:showPercent val="0"/>
              <c:showBubbleSize val="0"/>
            </c:dLbl>
            <c:dLbl>
              <c:idx val="4"/>
              <c:layout>
                <c:manualLayout>
                  <c:x val="9.5696200624016733E-3"/>
                  <c:y val="7.08685546284199E-2"/>
                </c:manualLayout>
              </c:layout>
              <c:showLegendKey val="0"/>
              <c:showVal val="1"/>
              <c:showCatName val="0"/>
              <c:showSerName val="0"/>
              <c:showPercent val="0"/>
              <c:showBubbleSize val="0"/>
            </c:dLbl>
            <c:dLbl>
              <c:idx val="5"/>
              <c:layout>
                <c:manualLayout>
                  <c:x val="1.092906586406726E-2"/>
                  <c:y val="8.3376250526972701E-2"/>
                </c:manualLayout>
              </c:layout>
              <c:showLegendKey val="0"/>
              <c:showVal val="1"/>
              <c:showCatName val="0"/>
              <c:showSerName val="0"/>
              <c:showPercent val="0"/>
              <c:showBubbleSize val="0"/>
            </c:dLbl>
            <c:dLbl>
              <c:idx val="6"/>
              <c:layout>
                <c:manualLayout>
                  <c:x val="6.8273773470623866E-3"/>
                  <c:y val="6.0457687456571069E-2"/>
                </c:manualLayout>
              </c:layout>
              <c:showLegendKey val="0"/>
              <c:showVal val="1"/>
              <c:showCatName val="0"/>
              <c:showSerName val="0"/>
              <c:showPercent val="0"/>
              <c:showBubbleSize val="0"/>
            </c:dLbl>
            <c:dLbl>
              <c:idx val="7"/>
              <c:layout>
                <c:manualLayout>
                  <c:x val="9.5624200821051216E-3"/>
                  <c:y val="5.8371122681183045E-2"/>
                </c:manualLayout>
              </c:layout>
              <c:showLegendKey val="0"/>
              <c:showVal val="1"/>
              <c:showCatName val="0"/>
              <c:showSerName val="0"/>
              <c:showPercent val="0"/>
              <c:showBubbleSize val="0"/>
            </c:dLbl>
            <c:dLbl>
              <c:idx val="8"/>
              <c:layout>
                <c:manualLayout>
                  <c:x val="8.1897301298876103E-3"/>
                  <c:y val="5.8361737091521024E-2"/>
                </c:manualLayout>
              </c:layout>
              <c:showLegendKey val="0"/>
              <c:showVal val="1"/>
              <c:showCatName val="0"/>
              <c:showSerName val="0"/>
              <c:showPercent val="0"/>
              <c:showBubbleSize val="0"/>
            </c:dLbl>
            <c:dLbl>
              <c:idx val="9"/>
              <c:layout>
                <c:manualLayout>
                  <c:x val="8.1923052288985308E-3"/>
                  <c:y val="0.11881167924465301"/>
                </c:manualLayout>
              </c:layout>
              <c:showLegendKey val="0"/>
              <c:showVal val="1"/>
              <c:showCatName val="0"/>
              <c:showSerName val="0"/>
              <c:showPercent val="0"/>
              <c:showBubbleSize val="0"/>
            </c:dLbl>
            <c:dLbl>
              <c:idx val="10"/>
              <c:layout>
                <c:manualLayout>
                  <c:x val="6.8273695439575489E-3"/>
                  <c:y val="0.19179914523096084"/>
                </c:manualLayout>
              </c:layout>
              <c:showLegendKey val="0"/>
              <c:showVal val="1"/>
              <c:showCatName val="0"/>
              <c:showSerName val="0"/>
              <c:showPercent val="0"/>
              <c:showBubbleSize val="0"/>
            </c:dLbl>
            <c:spPr>
              <a:gradFill>
                <a:gsLst>
                  <a:gs pos="0">
                    <a:schemeClr val="bg2">
                      <a:lumMod val="50000"/>
                    </a:schemeClr>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3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Лист1!$B$2:$L$2</c:f>
              <c:numCache>
                <c:formatCode>0.00;[Red]0.00</c:formatCode>
                <c:ptCount val="11"/>
                <c:pt idx="0">
                  <c:v>0.32592592592592595</c:v>
                </c:pt>
                <c:pt idx="1">
                  <c:v>0.42557538239322706</c:v>
                </c:pt>
                <c:pt idx="2">
                  <c:v>0.54300669725762341</c:v>
                </c:pt>
                <c:pt idx="3">
                  <c:v>0.58730071517927718</c:v>
                </c:pt>
                <c:pt idx="4">
                  <c:v>0.73646500186859842</c:v>
                </c:pt>
                <c:pt idx="5">
                  <c:v>0.88215111133075952</c:v>
                </c:pt>
                <c:pt idx="6">
                  <c:v>0.29155669685005686</c:v>
                </c:pt>
                <c:pt idx="7">
                  <c:v>0.29165089404190814</c:v>
                </c:pt>
                <c:pt idx="8">
                  <c:v>0.53411421073546173</c:v>
                </c:pt>
                <c:pt idx="9">
                  <c:v>0.64113901922689887</c:v>
                </c:pt>
                <c:pt idx="10">
                  <c:v>0.81333333333333335</c:v>
                </c:pt>
              </c:numCache>
            </c:numRef>
          </c:val>
          <c:shape val="coneToMax"/>
        </c:ser>
        <c:ser>
          <c:idx val="1"/>
          <c:order val="1"/>
          <c:tx>
            <c:strRef>
              <c:f>Лист1!$A$3</c:f>
              <c:strCache>
                <c:ptCount val="1"/>
                <c:pt idx="0">
                  <c:v>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c:v>
                </c:pt>
              </c:strCache>
            </c:strRef>
          </c:tx>
          <c:spPr>
            <a:scene3d>
              <a:camera prst="orthographicFront"/>
              <a:lightRig rig="threePt" dir="t"/>
            </a:scene3d>
            <a:sp3d prstMaterial="matte"/>
          </c:spPr>
          <c:invertIfNegative val="0"/>
          <c:dLbls>
            <c:dLbl>
              <c:idx val="0"/>
              <c:layout>
                <c:manualLayout>
                  <c:x val="6.8299530184400877E-3"/>
                  <c:y val="0.17508504348275206"/>
                </c:manualLayout>
              </c:layout>
              <c:showLegendKey val="0"/>
              <c:showVal val="1"/>
              <c:showCatName val="0"/>
              <c:showSerName val="0"/>
              <c:showPercent val="0"/>
              <c:showBubbleSize val="0"/>
            </c:dLbl>
            <c:dLbl>
              <c:idx val="1"/>
              <c:layout>
                <c:manualLayout>
                  <c:x val="8.1871382799334532E-3"/>
                  <c:y val="0.13964303531666966"/>
                </c:manualLayout>
              </c:layout>
              <c:showLegendKey val="0"/>
              <c:showVal val="1"/>
              <c:showCatName val="0"/>
              <c:showSerName val="0"/>
              <c:showPercent val="0"/>
              <c:showBubbleSize val="0"/>
            </c:dLbl>
            <c:dLbl>
              <c:idx val="2"/>
              <c:layout>
                <c:manualLayout>
                  <c:x val="8.189721754415992E-3"/>
                  <c:y val="0.17096466392095319"/>
                </c:manualLayout>
              </c:layout>
              <c:showLegendKey val="0"/>
              <c:showVal val="1"/>
              <c:showCatName val="0"/>
              <c:showSerName val="0"/>
              <c:showPercent val="0"/>
              <c:showBubbleSize val="0"/>
            </c:dLbl>
            <c:dLbl>
              <c:idx val="3"/>
              <c:layout>
                <c:manualLayout>
                  <c:x val="6.8222025949924731E-3"/>
                  <c:y val="0.1500828105824506"/>
                </c:manualLayout>
              </c:layout>
              <c:showLegendKey val="0"/>
              <c:showVal val="1"/>
              <c:showCatName val="0"/>
              <c:showSerName val="0"/>
              <c:showPercent val="0"/>
              <c:showBubbleSize val="0"/>
            </c:dLbl>
            <c:dLbl>
              <c:idx val="4"/>
              <c:layout>
                <c:manualLayout>
                  <c:x val="8.1896224510397738E-3"/>
                  <c:y val="5.003441382876074E-2"/>
                </c:manualLayout>
              </c:layout>
              <c:showLegendKey val="0"/>
              <c:showVal val="1"/>
              <c:showCatName val="0"/>
              <c:showSerName val="0"/>
              <c:showPercent val="0"/>
              <c:showBubbleSize val="0"/>
            </c:dLbl>
            <c:dLbl>
              <c:idx val="5"/>
              <c:layout>
                <c:manualLayout>
                  <c:x val="8.1940275452202227E-3"/>
                  <c:y val="0.17510659117626884"/>
                </c:manualLayout>
              </c:layout>
              <c:showLegendKey val="0"/>
              <c:showVal val="1"/>
              <c:showCatName val="0"/>
              <c:showSerName val="0"/>
              <c:showPercent val="0"/>
              <c:showBubbleSize val="0"/>
            </c:dLbl>
            <c:dLbl>
              <c:idx val="6"/>
              <c:layout>
                <c:manualLayout>
                  <c:x val="6.8273695439575489E-3"/>
                  <c:y val="0.13965175308580241"/>
                </c:manualLayout>
              </c:layout>
              <c:showLegendKey val="0"/>
              <c:showVal val="1"/>
              <c:showCatName val="0"/>
              <c:showSerName val="0"/>
              <c:showPercent val="0"/>
              <c:showBubbleSize val="0"/>
            </c:dLbl>
            <c:dLbl>
              <c:idx val="7"/>
              <c:layout>
                <c:manualLayout>
                  <c:x val="8.189721754415992E-3"/>
                  <c:y val="0.21055156009413217"/>
                </c:manualLayout>
              </c:layout>
              <c:showLegendKey val="0"/>
              <c:showVal val="1"/>
              <c:showCatName val="0"/>
              <c:showSerName val="0"/>
              <c:showPercent val="0"/>
              <c:showBubbleSize val="0"/>
            </c:dLbl>
            <c:dLbl>
              <c:idx val="8"/>
              <c:layout>
                <c:manualLayout>
                  <c:x val="8.189721754415992E-3"/>
                  <c:y val="0.12299061589723033"/>
                </c:manualLayout>
              </c:layout>
              <c:showLegendKey val="0"/>
              <c:showVal val="1"/>
              <c:showCatName val="0"/>
              <c:showSerName val="0"/>
              <c:showPercent val="0"/>
              <c:showBubbleSize val="0"/>
            </c:dLbl>
            <c:dLbl>
              <c:idx val="9"/>
              <c:layout>
                <c:manualLayout>
                  <c:x val="1.0919683471049242E-2"/>
                  <c:y val="1.6692112828825177E-2"/>
                </c:manualLayout>
              </c:layout>
              <c:showLegendKey val="0"/>
              <c:showVal val="1"/>
              <c:showCatName val="0"/>
              <c:showSerName val="0"/>
              <c:showPercent val="0"/>
              <c:showBubbleSize val="0"/>
            </c:dLbl>
            <c:dLbl>
              <c:idx val="10"/>
              <c:layout>
                <c:manualLayout>
                  <c:x val="8.1845548054509162E-3"/>
                  <c:y val="0.15009432461715425"/>
                </c:manualLayout>
              </c:layout>
              <c:showLegendKey val="0"/>
              <c:showVal val="1"/>
              <c:showCatName val="0"/>
              <c:showSerName val="0"/>
              <c:showPercent val="0"/>
              <c:showBubbleSize val="0"/>
            </c:dLbl>
            <c:spPr>
              <a:gradFill>
                <a:gsLst>
                  <a:gs pos="0">
                    <a:schemeClr val="bg2">
                      <a:lumMod val="50000"/>
                      <a:alpha val="50000"/>
                    </a:schemeClr>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3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Лист1!$B$3:$L$3</c:f>
              <c:numCache>
                <c:formatCode>0.00;[Red]0.00</c:formatCode>
                <c:ptCount val="11"/>
                <c:pt idx="0">
                  <c:v>0.81</c:v>
                </c:pt>
                <c:pt idx="1">
                  <c:v>0.6</c:v>
                </c:pt>
                <c:pt idx="2">
                  <c:v>0.71</c:v>
                </c:pt>
                <c:pt idx="3">
                  <c:v>0.61</c:v>
                </c:pt>
                <c:pt idx="4">
                  <c:v>0.86</c:v>
                </c:pt>
                <c:pt idx="5">
                  <c:v>0.96</c:v>
                </c:pt>
                <c:pt idx="6">
                  <c:v>0.65</c:v>
                </c:pt>
                <c:pt idx="7">
                  <c:v>0.98</c:v>
                </c:pt>
                <c:pt idx="8">
                  <c:v>0.6</c:v>
                </c:pt>
                <c:pt idx="9">
                  <c:v>0</c:v>
                </c:pt>
                <c:pt idx="10">
                  <c:v>0.52</c:v>
                </c:pt>
              </c:numCache>
            </c:numRef>
          </c:val>
          <c:shape val="coneToMax"/>
        </c:ser>
        <c:dLbls>
          <c:showLegendKey val="0"/>
          <c:showVal val="0"/>
          <c:showCatName val="0"/>
          <c:showSerName val="0"/>
          <c:showPercent val="0"/>
          <c:showBubbleSize val="0"/>
        </c:dLbls>
        <c:gapWidth val="126"/>
        <c:gapDepth val="120"/>
        <c:shape val="cone"/>
        <c:axId val="136758016"/>
        <c:axId val="136759552"/>
        <c:axId val="136708992"/>
      </c:bar3DChart>
      <c:catAx>
        <c:axId val="136758016"/>
        <c:scaling>
          <c:orientation val="minMax"/>
        </c:scaling>
        <c:delete val="0"/>
        <c:axPos val="b"/>
        <c:majorGridlines>
          <c:spPr>
            <a:ln w="25400">
              <a:solidFill>
                <a:schemeClr val="tx2"/>
              </a:solidFill>
            </a:ln>
          </c:spPr>
        </c:majorGridlines>
        <c:majorTickMark val="out"/>
        <c:minorTickMark val="none"/>
        <c:tickLblPos val="nextTo"/>
        <c:spPr>
          <a:ln cap="sq" cmpd="sng">
            <a:solidFill>
              <a:schemeClr val="tx2"/>
            </a:solidFill>
            <a:round/>
            <a:headEnd type="stealth" w="med" len="sm"/>
          </a:ln>
        </c:spPr>
        <c:txPr>
          <a:bodyPr rot="-5400000" vert="horz"/>
          <a:lstStyle/>
          <a:p>
            <a:pPr>
              <a:defRPr sz="1000" b="0" i="0" u="none" baseline="0"/>
            </a:pPr>
            <a:endParaRPr lang="ru-RU"/>
          </a:p>
        </c:txPr>
        <c:crossAx val="136759552"/>
        <c:crossesAt val="0"/>
        <c:auto val="0"/>
        <c:lblAlgn val="ctr"/>
        <c:lblOffset val="100"/>
        <c:tickLblSkip val="1"/>
        <c:noMultiLvlLbl val="0"/>
      </c:catAx>
      <c:valAx>
        <c:axId val="136759552"/>
        <c:scaling>
          <c:orientation val="minMax"/>
        </c:scaling>
        <c:delete val="1"/>
        <c:axPos val="l"/>
        <c:majorGridlines>
          <c:spPr>
            <a:ln w="25400">
              <a:solidFill>
                <a:schemeClr val="tx2"/>
              </a:solidFill>
            </a:ln>
          </c:spPr>
        </c:majorGridlines>
        <c:minorGridlines/>
        <c:numFmt formatCode="0.00;[Red]0.00" sourceLinked="0"/>
        <c:majorTickMark val="out"/>
        <c:minorTickMark val="none"/>
        <c:tickLblPos val="nextTo"/>
        <c:crossAx val="136758016"/>
        <c:crossesAt val="1"/>
        <c:crossBetween val="between"/>
      </c:valAx>
      <c:serAx>
        <c:axId val="136708992"/>
        <c:scaling>
          <c:orientation val="minMax"/>
        </c:scaling>
        <c:delete val="1"/>
        <c:axPos val="b"/>
        <c:majorTickMark val="out"/>
        <c:minorTickMark val="none"/>
        <c:tickLblPos val="nextTo"/>
        <c:crossAx val="136759552"/>
        <c:crossesAt val="0"/>
      </c:serAx>
      <c:spPr>
        <a:noFill/>
      </c:spPr>
    </c:plotArea>
    <c:legend>
      <c:legendPos val="t"/>
      <c:layout>
        <c:manualLayout>
          <c:xMode val="edge"/>
          <c:yMode val="edge"/>
          <c:x val="1.2747010817257702E-2"/>
          <c:y val="1.2519084621618881E-2"/>
          <c:w val="0.96495125532831649"/>
          <c:h val="0.28711808659415688"/>
        </c:manualLayout>
      </c:layout>
      <c:overlay val="1"/>
      <c:txPr>
        <a:bodyPr/>
        <a:lstStyle/>
        <a:p>
          <a:pPr>
            <a:defRPr sz="1050" baseline="0"/>
          </a:pPr>
          <a:endParaRPr lang="ru-RU"/>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6"/>
      <c:rotY val="25"/>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4.0236994504978661E-2"/>
          <c:y val="0.29820832293071292"/>
          <c:w val="0.92834658171341411"/>
          <c:h val="0.37634523173524931"/>
        </c:manualLayout>
      </c:layout>
      <c:bar3DChart>
        <c:barDir val="col"/>
        <c:grouping val="standard"/>
        <c:varyColors val="0"/>
        <c:ser>
          <c:idx val="0"/>
          <c:order val="0"/>
          <c:tx>
            <c:strRef>
              <c:f>Лист1!$A$2</c:f>
              <c:strCache>
                <c:ptCount val="1"/>
                <c:pt idx="0">
                  <c:v>Число субъектов малого и среднего предпринимательства (в расчете на 10000 чел.населения)</c:v>
                </c:pt>
              </c:strCache>
            </c:strRef>
          </c:tx>
          <c:spPr>
            <a:pattFill prst="solidDmnd">
              <a:fgClr>
                <a:schemeClr val="accent2">
                  <a:lumMod val="75000"/>
                </a:schemeClr>
              </a:fgClr>
              <a:bgClr>
                <a:schemeClr val="bg2">
                  <a:lumMod val="50000"/>
                </a:schemeClr>
              </a:bgClr>
            </a:pattFill>
            <a:ln>
              <a:noFill/>
            </a:ln>
            <a:scene3d>
              <a:camera prst="orthographicFront"/>
              <a:lightRig rig="threePt" dir="t"/>
            </a:scene3d>
            <a:sp3d prstMaterial="metal"/>
          </c:spPr>
          <c:invertIfNegative val="0"/>
          <c:dLbls>
            <c:dLbl>
              <c:idx val="0"/>
              <c:layout>
                <c:manualLayout>
                  <c:x val="1.2298307339812471E-2"/>
                  <c:y val="8.525336715608442E-2"/>
                </c:manualLayout>
              </c:layout>
              <c:showLegendKey val="0"/>
              <c:showVal val="1"/>
              <c:showCatName val="0"/>
              <c:showSerName val="0"/>
              <c:showPercent val="0"/>
              <c:showBubbleSize val="0"/>
            </c:dLbl>
            <c:dLbl>
              <c:idx val="1"/>
              <c:layout>
                <c:manualLayout>
                  <c:x val="8.1974721778636066E-3"/>
                  <c:y val="0.12087663912564395"/>
                </c:manualLayout>
              </c:layout>
              <c:showLegendKey val="0"/>
              <c:showVal val="1"/>
              <c:showCatName val="0"/>
              <c:showSerName val="0"/>
              <c:showPercent val="0"/>
              <c:showBubbleSize val="0"/>
            </c:dLbl>
            <c:dLbl>
              <c:idx val="2"/>
              <c:layout>
                <c:manualLayout>
                  <c:x val="2.4602535141980762E-2"/>
                  <c:y val="-4.4014864947774807E-3"/>
                </c:manualLayout>
              </c:layout>
              <c:showLegendKey val="0"/>
              <c:showVal val="1"/>
              <c:showCatName val="0"/>
              <c:showSerName val="0"/>
              <c:showPercent val="0"/>
              <c:showBubbleSize val="0"/>
            </c:dLbl>
            <c:dLbl>
              <c:idx val="3"/>
              <c:layout>
                <c:manualLayout>
                  <c:x val="8.1948887033810678E-3"/>
                  <c:y val="0.10419214489524449"/>
                </c:manualLayout>
              </c:layout>
              <c:showLegendKey val="0"/>
              <c:showVal val="1"/>
              <c:showCatName val="0"/>
              <c:showSerName val="0"/>
              <c:showPercent val="0"/>
              <c:showBubbleSize val="0"/>
            </c:dLbl>
            <c:dLbl>
              <c:idx val="4"/>
              <c:layout>
                <c:manualLayout>
                  <c:x val="9.5696200624016733E-3"/>
                  <c:y val="7.08685546284199E-2"/>
                </c:manualLayout>
              </c:layout>
              <c:showLegendKey val="0"/>
              <c:showVal val="1"/>
              <c:showCatName val="0"/>
              <c:showSerName val="0"/>
              <c:showPercent val="0"/>
              <c:showBubbleSize val="0"/>
            </c:dLbl>
            <c:dLbl>
              <c:idx val="5"/>
              <c:layout>
                <c:manualLayout>
                  <c:x val="1.092906586406726E-2"/>
                  <c:y val="8.3376250526972701E-2"/>
                </c:manualLayout>
              </c:layout>
              <c:showLegendKey val="0"/>
              <c:showVal val="1"/>
              <c:showCatName val="0"/>
              <c:showSerName val="0"/>
              <c:showPercent val="0"/>
              <c:showBubbleSize val="0"/>
            </c:dLbl>
            <c:dLbl>
              <c:idx val="6"/>
              <c:layout>
                <c:manualLayout>
                  <c:x val="6.8273773470623866E-3"/>
                  <c:y val="6.0457687456571069E-2"/>
                </c:manualLayout>
              </c:layout>
              <c:showLegendKey val="0"/>
              <c:showVal val="1"/>
              <c:showCatName val="0"/>
              <c:showSerName val="0"/>
              <c:showPercent val="0"/>
              <c:showBubbleSize val="0"/>
            </c:dLbl>
            <c:dLbl>
              <c:idx val="7"/>
              <c:layout>
                <c:manualLayout>
                  <c:x val="9.5624200821051216E-3"/>
                  <c:y val="5.8371122681183045E-2"/>
                </c:manualLayout>
              </c:layout>
              <c:showLegendKey val="0"/>
              <c:showVal val="1"/>
              <c:showCatName val="0"/>
              <c:showSerName val="0"/>
              <c:showPercent val="0"/>
              <c:showBubbleSize val="0"/>
            </c:dLbl>
            <c:dLbl>
              <c:idx val="8"/>
              <c:layout>
                <c:manualLayout>
                  <c:x val="8.1897301298876103E-3"/>
                  <c:y val="5.8361737091521024E-2"/>
                </c:manualLayout>
              </c:layout>
              <c:showLegendKey val="0"/>
              <c:showVal val="1"/>
              <c:showCatName val="0"/>
              <c:showSerName val="0"/>
              <c:showPercent val="0"/>
              <c:showBubbleSize val="0"/>
            </c:dLbl>
            <c:dLbl>
              <c:idx val="9"/>
              <c:layout>
                <c:manualLayout>
                  <c:x val="8.1923052288985308E-3"/>
                  <c:y val="0.11881167924465301"/>
                </c:manualLayout>
              </c:layout>
              <c:showLegendKey val="0"/>
              <c:showVal val="1"/>
              <c:showCatName val="0"/>
              <c:showSerName val="0"/>
              <c:showPercent val="0"/>
              <c:showBubbleSize val="0"/>
            </c:dLbl>
            <c:dLbl>
              <c:idx val="10"/>
              <c:layout>
                <c:manualLayout>
                  <c:x val="6.8273695439575489E-3"/>
                  <c:y val="0.19179914523096084"/>
                </c:manualLayout>
              </c:layout>
              <c:showLegendKey val="0"/>
              <c:showVal val="1"/>
              <c:showCatName val="0"/>
              <c:showSerName val="0"/>
              <c:showPercent val="0"/>
              <c:showBubbleSize val="0"/>
            </c:dLbl>
            <c:spPr>
              <a:gradFill>
                <a:gsLst>
                  <a:gs pos="0">
                    <a:schemeClr val="bg2">
                      <a:lumMod val="50000"/>
                      <a:alpha val="50000"/>
                    </a:schemeClr>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3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 Палана</c:v>
                </c:pt>
              </c:strCache>
            </c:strRef>
          </c:cat>
          <c:val>
            <c:numRef>
              <c:f>Лист1!$B$2:$D$2</c:f>
              <c:numCache>
                <c:formatCode>0.00;[Red]0.00</c:formatCode>
                <c:ptCount val="3"/>
                <c:pt idx="0">
                  <c:v>0.4</c:v>
                </c:pt>
                <c:pt idx="1">
                  <c:v>0.81</c:v>
                </c:pt>
                <c:pt idx="2">
                  <c:v>0.2</c:v>
                </c:pt>
              </c:numCache>
            </c:numRef>
          </c:val>
        </c:ser>
        <c:ser>
          <c:idx val="1"/>
          <c:order val="1"/>
          <c:tx>
            <c:strRef>
              <c:f>Лист1!$A$3</c:f>
              <c:strCache>
                <c:ptCount val="1"/>
                <c:pt idx="0">
                  <c:v>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c:v>
                </c:pt>
              </c:strCache>
            </c:strRef>
          </c:tx>
          <c:spPr>
            <a:scene3d>
              <a:camera prst="orthographicFront"/>
              <a:lightRig rig="threePt" dir="t"/>
            </a:scene3d>
            <a:sp3d prstMaterial="matte"/>
          </c:spPr>
          <c:invertIfNegative val="0"/>
          <c:dLbls>
            <c:dLbl>
              <c:idx val="0"/>
              <c:layout>
                <c:manualLayout>
                  <c:x val="1.9133750241527952E-2"/>
                  <c:y val="7.0636300099826688E-2"/>
                </c:manualLayout>
              </c:layout>
              <c:showLegendKey val="0"/>
              <c:showVal val="1"/>
              <c:showCatName val="0"/>
              <c:showSerName val="0"/>
              <c:showPercent val="0"/>
              <c:showBubbleSize val="0"/>
            </c:dLbl>
            <c:dLbl>
              <c:idx val="1"/>
              <c:layout>
                <c:manualLayout>
                  <c:x val="2.4592201244050607E-2"/>
                  <c:y val="0.11666431177242609"/>
                </c:manualLayout>
              </c:layout>
              <c:showLegendKey val="0"/>
              <c:showVal val="1"/>
              <c:showCatName val="0"/>
              <c:showSerName val="0"/>
              <c:showPercent val="0"/>
              <c:showBubbleSize val="0"/>
            </c:dLbl>
            <c:dLbl>
              <c:idx val="2"/>
              <c:layout>
                <c:manualLayout>
                  <c:x val="2.1860607557846953E-2"/>
                  <c:y val="1.2202573978906617E-2"/>
                </c:manualLayout>
              </c:layout>
              <c:showLegendKey val="0"/>
              <c:showVal val="1"/>
              <c:showCatName val="0"/>
              <c:showSerName val="0"/>
              <c:showPercent val="0"/>
              <c:showBubbleSize val="0"/>
            </c:dLbl>
            <c:dLbl>
              <c:idx val="3"/>
              <c:layout>
                <c:manualLayout>
                  <c:x val="6.8222025949924731E-3"/>
                  <c:y val="0.1500828105824506"/>
                </c:manualLayout>
              </c:layout>
              <c:showLegendKey val="0"/>
              <c:showVal val="1"/>
              <c:showCatName val="0"/>
              <c:showSerName val="0"/>
              <c:showPercent val="0"/>
              <c:showBubbleSize val="0"/>
            </c:dLbl>
            <c:dLbl>
              <c:idx val="4"/>
              <c:layout>
                <c:manualLayout>
                  <c:x val="8.1896224510397738E-3"/>
                  <c:y val="5.003441382876074E-2"/>
                </c:manualLayout>
              </c:layout>
              <c:showLegendKey val="0"/>
              <c:showVal val="1"/>
              <c:showCatName val="0"/>
              <c:showSerName val="0"/>
              <c:showPercent val="0"/>
              <c:showBubbleSize val="0"/>
            </c:dLbl>
            <c:dLbl>
              <c:idx val="5"/>
              <c:layout>
                <c:manualLayout>
                  <c:x val="8.1940275452202227E-3"/>
                  <c:y val="0.17510659117626884"/>
                </c:manualLayout>
              </c:layout>
              <c:showLegendKey val="0"/>
              <c:showVal val="1"/>
              <c:showCatName val="0"/>
              <c:showSerName val="0"/>
              <c:showPercent val="0"/>
              <c:showBubbleSize val="0"/>
            </c:dLbl>
            <c:dLbl>
              <c:idx val="6"/>
              <c:layout>
                <c:manualLayout>
                  <c:x val="6.8273695439575489E-3"/>
                  <c:y val="0.13965175308580241"/>
                </c:manualLayout>
              </c:layout>
              <c:showLegendKey val="0"/>
              <c:showVal val="1"/>
              <c:showCatName val="0"/>
              <c:showSerName val="0"/>
              <c:showPercent val="0"/>
              <c:showBubbleSize val="0"/>
            </c:dLbl>
            <c:dLbl>
              <c:idx val="7"/>
              <c:layout>
                <c:manualLayout>
                  <c:x val="8.189721754415992E-3"/>
                  <c:y val="0.21055156009413217"/>
                </c:manualLayout>
              </c:layout>
              <c:showLegendKey val="0"/>
              <c:showVal val="1"/>
              <c:showCatName val="0"/>
              <c:showSerName val="0"/>
              <c:showPercent val="0"/>
              <c:showBubbleSize val="0"/>
            </c:dLbl>
            <c:dLbl>
              <c:idx val="8"/>
              <c:layout>
                <c:manualLayout>
                  <c:x val="8.189721754415992E-3"/>
                  <c:y val="0.12299061589723033"/>
                </c:manualLayout>
              </c:layout>
              <c:showLegendKey val="0"/>
              <c:showVal val="1"/>
              <c:showCatName val="0"/>
              <c:showSerName val="0"/>
              <c:showPercent val="0"/>
              <c:showBubbleSize val="0"/>
            </c:dLbl>
            <c:dLbl>
              <c:idx val="9"/>
              <c:layout>
                <c:manualLayout>
                  <c:x val="1.0919683471049242E-2"/>
                  <c:y val="1.6692112828825177E-2"/>
                </c:manualLayout>
              </c:layout>
              <c:showLegendKey val="0"/>
              <c:showVal val="1"/>
              <c:showCatName val="0"/>
              <c:showSerName val="0"/>
              <c:showPercent val="0"/>
              <c:showBubbleSize val="0"/>
            </c:dLbl>
            <c:dLbl>
              <c:idx val="10"/>
              <c:layout>
                <c:manualLayout>
                  <c:x val="8.1845548054509162E-3"/>
                  <c:y val="0.15009432461715425"/>
                </c:manualLayout>
              </c:layout>
              <c:showLegendKey val="0"/>
              <c:showVal val="1"/>
              <c:showCatName val="0"/>
              <c:showSerName val="0"/>
              <c:showPercent val="0"/>
              <c:showBubbleSize val="0"/>
            </c:dLbl>
            <c:spPr>
              <a:gradFill>
                <a:gsLst>
                  <a:gs pos="0">
                    <a:schemeClr val="bg2">
                      <a:lumMod val="50000"/>
                      <a:alpha val="50000"/>
                    </a:schemeClr>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3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 Палана</c:v>
                </c:pt>
              </c:strCache>
            </c:strRef>
          </c:cat>
          <c:val>
            <c:numRef>
              <c:f>Лист1!$B$3:$D$3</c:f>
              <c:numCache>
                <c:formatCode>0.00;[Red]0.00</c:formatCode>
                <c:ptCount val="3"/>
                <c:pt idx="0">
                  <c:v>0.97</c:v>
                </c:pt>
                <c:pt idx="1">
                  <c:v>0</c:v>
                </c:pt>
                <c:pt idx="2">
                  <c:v>0.68</c:v>
                </c:pt>
              </c:numCache>
            </c:numRef>
          </c:val>
        </c:ser>
        <c:dLbls>
          <c:showLegendKey val="0"/>
          <c:showVal val="0"/>
          <c:showCatName val="0"/>
          <c:showSerName val="0"/>
          <c:showPercent val="0"/>
          <c:showBubbleSize val="0"/>
        </c:dLbls>
        <c:gapWidth val="126"/>
        <c:gapDepth val="120"/>
        <c:shape val="cylinder"/>
        <c:axId val="136926720"/>
        <c:axId val="136928256"/>
        <c:axId val="136711680"/>
      </c:bar3DChart>
      <c:catAx>
        <c:axId val="136926720"/>
        <c:scaling>
          <c:orientation val="minMax"/>
        </c:scaling>
        <c:delete val="0"/>
        <c:axPos val="b"/>
        <c:majorGridlines>
          <c:spPr>
            <a:ln w="25400">
              <a:solidFill>
                <a:schemeClr val="tx2"/>
              </a:solidFill>
            </a:ln>
          </c:spPr>
        </c:majorGridlines>
        <c:majorTickMark val="out"/>
        <c:minorTickMark val="none"/>
        <c:tickLblPos val="nextTo"/>
        <c:spPr>
          <a:ln cap="sq" cmpd="sng">
            <a:solidFill>
              <a:schemeClr val="tx2"/>
            </a:solidFill>
            <a:round/>
            <a:headEnd type="stealth" w="med" len="sm"/>
          </a:ln>
        </c:spPr>
        <c:txPr>
          <a:bodyPr rot="-5400000" vert="horz"/>
          <a:lstStyle/>
          <a:p>
            <a:pPr>
              <a:defRPr sz="1150" b="0" i="0" u="none" baseline="0"/>
            </a:pPr>
            <a:endParaRPr lang="ru-RU"/>
          </a:p>
        </c:txPr>
        <c:crossAx val="136928256"/>
        <c:crossesAt val="0"/>
        <c:auto val="0"/>
        <c:lblAlgn val="ctr"/>
        <c:lblOffset val="100"/>
        <c:tickLblSkip val="1"/>
        <c:noMultiLvlLbl val="0"/>
      </c:catAx>
      <c:valAx>
        <c:axId val="136928256"/>
        <c:scaling>
          <c:orientation val="minMax"/>
        </c:scaling>
        <c:delete val="1"/>
        <c:axPos val="l"/>
        <c:majorGridlines>
          <c:spPr>
            <a:ln w="25400">
              <a:solidFill>
                <a:schemeClr val="tx2"/>
              </a:solidFill>
            </a:ln>
          </c:spPr>
        </c:majorGridlines>
        <c:minorGridlines/>
        <c:numFmt formatCode="0.00;[Red]0.00" sourceLinked="0"/>
        <c:majorTickMark val="out"/>
        <c:minorTickMark val="none"/>
        <c:tickLblPos val="nextTo"/>
        <c:crossAx val="136926720"/>
        <c:crossesAt val="1"/>
        <c:crossBetween val="between"/>
      </c:valAx>
      <c:serAx>
        <c:axId val="136711680"/>
        <c:scaling>
          <c:orientation val="minMax"/>
        </c:scaling>
        <c:delete val="1"/>
        <c:axPos val="b"/>
        <c:majorTickMark val="out"/>
        <c:minorTickMark val="none"/>
        <c:tickLblPos val="nextTo"/>
        <c:crossAx val="136928256"/>
        <c:crossesAt val="0"/>
      </c:serAx>
      <c:spPr>
        <a:noFill/>
      </c:spPr>
    </c:plotArea>
    <c:legend>
      <c:legendPos val="t"/>
      <c:layout>
        <c:manualLayout>
          <c:xMode val="edge"/>
          <c:yMode val="edge"/>
          <c:x val="1.2747010817257702E-2"/>
          <c:y val="1.2519084621618881E-2"/>
          <c:w val="0.96495125532831649"/>
          <c:h val="0.29130109278566468"/>
        </c:manualLayout>
      </c:layout>
      <c:overlay val="1"/>
      <c:txPr>
        <a:bodyPr/>
        <a:lstStyle/>
        <a:p>
          <a:pPr>
            <a:defRPr sz="1150" baseline="0"/>
          </a:pPr>
          <a:endParaRPr lang="ru-RU"/>
        </a:p>
      </c:txPr>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40"/>
      <c:rotY val="161"/>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3.3405129700202991E-2"/>
          <c:y val="0.15194216620783932"/>
          <c:w val="0.81499134133818185"/>
          <c:h val="0.77359166086425524"/>
        </c:manualLayout>
      </c:layout>
      <c:pie3DChart>
        <c:varyColors val="1"/>
        <c:ser>
          <c:idx val="0"/>
          <c:order val="0"/>
          <c:tx>
            <c:strRef>
              <c:f>Лист1!$A$2</c:f>
              <c:strCache>
                <c:ptCount val="1"/>
                <c:pt idx="0">
                  <c:v>сводный индекс показателя "Доля прибыльных сельскохозяйственных организаций в общем их числе"</c:v>
                </c:pt>
              </c:strCache>
            </c:strRef>
          </c:tx>
          <c:explosion val="22"/>
          <c:dPt>
            <c:idx val="1"/>
            <c:bubble3D val="0"/>
            <c:spPr>
              <a:blipFill>
                <a:blip xmlns:r="http://schemas.openxmlformats.org/officeDocument/2006/relationships" r:embed="rId2"/>
                <a:tile tx="0" ty="0" sx="100000" sy="100000" flip="none" algn="ctr"/>
              </a:blipFill>
            </c:spPr>
          </c:dPt>
          <c:dPt>
            <c:idx val="2"/>
            <c:bubble3D val="0"/>
            <c:spPr>
              <a:pattFill prst="lgConfetti">
                <a:fgClr>
                  <a:schemeClr val="tx2">
                    <a:lumMod val="60000"/>
                    <a:lumOff val="40000"/>
                  </a:schemeClr>
                </a:fgClr>
                <a:bgClr>
                  <a:schemeClr val="accent4">
                    <a:lumMod val="40000"/>
                    <a:lumOff val="60000"/>
                  </a:schemeClr>
                </a:bgClr>
              </a:pattFill>
            </c:spPr>
          </c:dPt>
          <c:dPt>
            <c:idx val="3"/>
            <c:bubble3D val="0"/>
            <c:spPr>
              <a:pattFill prst="sphere">
                <a:fgClr>
                  <a:schemeClr val="accent2">
                    <a:lumMod val="75000"/>
                  </a:schemeClr>
                </a:fgClr>
                <a:bgClr>
                  <a:schemeClr val="bg1"/>
                </a:bgClr>
              </a:pattFill>
            </c:spPr>
          </c:dPt>
          <c:dPt>
            <c:idx val="4"/>
            <c:bubble3D val="0"/>
            <c:spPr>
              <a:blipFill>
                <a:blip xmlns:r="http://schemas.openxmlformats.org/officeDocument/2006/relationships" r:embed="rId3"/>
                <a:tile tx="0" ty="0" sx="100000" sy="100000" flip="none" algn="tl"/>
              </a:blipFill>
            </c:spPr>
          </c:dPt>
          <c:dPt>
            <c:idx val="5"/>
            <c:bubble3D val="0"/>
            <c:spPr>
              <a:gradFill>
                <a:gsLst>
                  <a:gs pos="24250">
                    <a:srgbClr val="A26B00">
                      <a:lumMod val="93000"/>
                      <a:alpha val="74000"/>
                    </a:srgbClr>
                  </a:gs>
                  <a:gs pos="20500">
                    <a:srgbClr val="C17F00"/>
                  </a:gs>
                  <a:gs pos="13000">
                    <a:srgbClr val="FFA800"/>
                  </a:gs>
                  <a:gs pos="28000">
                    <a:srgbClr val="825600"/>
                  </a:gs>
                  <a:gs pos="42999">
                    <a:srgbClr val="FFA800"/>
                  </a:gs>
                  <a:gs pos="58000">
                    <a:srgbClr val="825600"/>
                  </a:gs>
                  <a:gs pos="72000">
                    <a:srgbClr val="FFA800"/>
                  </a:gs>
                  <a:gs pos="87000">
                    <a:srgbClr val="825600"/>
                  </a:gs>
                  <a:gs pos="100000">
                    <a:srgbClr val="FFA800"/>
                  </a:gs>
                </a:gsLst>
                <a:lin ang="10200000" scaled="0"/>
              </a:gradFill>
            </c:spPr>
          </c:dPt>
          <c:dPt>
            <c:idx val="6"/>
            <c:bubble3D val="0"/>
            <c:spPr>
              <a:blipFill dpi="0" rotWithShape="1">
                <a:blip xmlns:r="http://schemas.openxmlformats.org/officeDocument/2006/relationships" r:embed="rId4"/>
                <a:srcRect/>
                <a:tile tx="0" ty="0" sx="100000" sy="100000" flip="none" algn="ctr"/>
              </a:blipFill>
            </c:spPr>
          </c:dPt>
          <c:dPt>
            <c:idx val="7"/>
            <c:bubble3D val="0"/>
            <c:spPr>
              <a:gradFill>
                <a:gsLst>
                  <a:gs pos="0">
                    <a:srgbClr val="7030A0"/>
                  </a:gs>
                  <a:gs pos="69000">
                    <a:schemeClr val="accent1">
                      <a:tint val="44500"/>
                      <a:satMod val="160000"/>
                    </a:schemeClr>
                  </a:gs>
                  <a:gs pos="100000">
                    <a:schemeClr val="accent1">
                      <a:tint val="23500"/>
                      <a:satMod val="160000"/>
                    </a:schemeClr>
                  </a:gs>
                </a:gsLst>
                <a:lin ang="5400000" scaled="0"/>
              </a:gradFill>
            </c:spPr>
          </c:dPt>
          <c:dPt>
            <c:idx val="10"/>
            <c:bubble3D val="0"/>
            <c:spPr>
              <a:scene3d>
                <a:camera prst="orthographicFront"/>
                <a:lightRig rig="threePt" dir="t"/>
              </a:scene3d>
              <a:sp3d prstMaterial="dkEdge"/>
            </c:spPr>
          </c:dPt>
          <c:dLbls>
            <c:dLbl>
              <c:idx val="0"/>
              <c:layout>
                <c:manualLayout>
                  <c:x val="0.38598088700450905"/>
                  <c:y val="0"/>
                </c:manualLayout>
              </c:layout>
              <c:dLblPos val="bestFit"/>
              <c:showLegendKey val="1"/>
              <c:showVal val="1"/>
              <c:showCatName val="1"/>
              <c:showSerName val="0"/>
              <c:showPercent val="0"/>
              <c:showBubbleSize val="0"/>
              <c:separator>
</c:separator>
            </c:dLbl>
            <c:dLbl>
              <c:idx val="1"/>
              <c:layout>
                <c:manualLayout>
                  <c:x val="-6.0122066675286072E-2"/>
                  <c:y val="0.16311692389158197"/>
                </c:manualLayout>
              </c:layout>
              <c:dLblPos val="bestFit"/>
              <c:showLegendKey val="1"/>
              <c:showVal val="1"/>
              <c:showCatName val="1"/>
              <c:showSerName val="0"/>
              <c:showPercent val="0"/>
              <c:showBubbleSize val="0"/>
              <c:separator>
</c:separator>
            </c:dLbl>
            <c:dLbl>
              <c:idx val="2"/>
              <c:layout>
                <c:manualLayout>
                  <c:x val="-0.10107466349661731"/>
                  <c:y val="0.158944050187038"/>
                </c:manualLayout>
              </c:layout>
              <c:dLblPos val="bestFit"/>
              <c:showLegendKey val="1"/>
              <c:showVal val="1"/>
              <c:showCatName val="1"/>
              <c:showSerName val="0"/>
              <c:showPercent val="0"/>
              <c:showBubbleSize val="0"/>
              <c:separator>
</c:separator>
            </c:dLbl>
            <c:dLbl>
              <c:idx val="3"/>
              <c:layout>
                <c:manualLayout>
                  <c:x val="-0.129735366008185"/>
                  <c:y val="8.996682138392495E-2"/>
                </c:manualLayout>
              </c:layout>
              <c:dLblPos val="bestFit"/>
              <c:showLegendKey val="1"/>
              <c:showVal val="1"/>
              <c:showCatName val="1"/>
              <c:showSerName val="0"/>
              <c:showPercent val="0"/>
              <c:showBubbleSize val="0"/>
              <c:separator>
</c:separator>
            </c:dLbl>
            <c:dLbl>
              <c:idx val="4"/>
              <c:layout>
                <c:manualLayout>
                  <c:x val="-0.11606834349552538"/>
                  <c:y val="2.9331884398283593E-2"/>
                </c:manualLayout>
              </c:layout>
              <c:dLblPos val="bestFit"/>
              <c:showLegendKey val="1"/>
              <c:showVal val="1"/>
              <c:showCatName val="1"/>
              <c:showSerName val="0"/>
              <c:showPercent val="0"/>
              <c:showBubbleSize val="0"/>
              <c:separator>
</c:separator>
            </c:dLbl>
            <c:dLbl>
              <c:idx val="5"/>
              <c:layout>
                <c:manualLayout>
                  <c:x val="-0.10789586290934264"/>
                  <c:y val="6.2745092872618568E-3"/>
                </c:manualLayout>
              </c:layout>
              <c:dLblPos val="bestFit"/>
              <c:showLegendKey val="1"/>
              <c:showVal val="1"/>
              <c:showCatName val="1"/>
              <c:showSerName val="0"/>
              <c:showPercent val="0"/>
              <c:showBubbleSize val="0"/>
              <c:separator>
</c:separator>
            </c:dLbl>
            <c:dLbl>
              <c:idx val="6"/>
              <c:layout>
                <c:manualLayout>
                  <c:x val="-0.18574866276402782"/>
                  <c:y val="-6.2923039841823666E-2"/>
                </c:manualLayout>
              </c:layout>
              <c:dLblPos val="bestFit"/>
              <c:showLegendKey val="1"/>
              <c:showVal val="1"/>
              <c:showCatName val="1"/>
              <c:showSerName val="0"/>
              <c:showPercent val="0"/>
              <c:showBubbleSize val="0"/>
              <c:separator>
</c:separator>
            </c:dLbl>
            <c:dLbl>
              <c:idx val="7"/>
              <c:layout>
                <c:manualLayout>
                  <c:x val="-0.11840349283262669"/>
                  <c:y val="-8.2389934673399237E-2"/>
                </c:manualLayout>
              </c:layout>
              <c:dLblPos val="bestFit"/>
              <c:showLegendKey val="1"/>
              <c:showVal val="1"/>
              <c:showCatName val="1"/>
              <c:showSerName val="0"/>
              <c:showPercent val="0"/>
              <c:showBubbleSize val="0"/>
              <c:separator>
</c:separator>
            </c:dLbl>
            <c:dLbl>
              <c:idx val="8"/>
              <c:layout>
                <c:manualLayout>
                  <c:x val="-7.8440675684770169E-3"/>
                  <c:y val="-7.3363126906433998E-2"/>
                </c:manualLayout>
              </c:layout>
              <c:dLblPos val="bestFit"/>
              <c:showLegendKey val="1"/>
              <c:showVal val="1"/>
              <c:showCatName val="1"/>
              <c:showSerName val="0"/>
              <c:showPercent val="0"/>
              <c:showBubbleSize val="0"/>
              <c:separator>
</c:separator>
            </c:dLbl>
            <c:dLbl>
              <c:idx val="9"/>
              <c:layout>
                <c:manualLayout>
                  <c:x val="0.11472471499221241"/>
                  <c:y val="-0.11503267026646738"/>
                </c:manualLayout>
              </c:layout>
              <c:dLblPos val="bestFit"/>
              <c:showLegendKey val="1"/>
              <c:showVal val="1"/>
              <c:showCatName val="1"/>
              <c:showSerName val="0"/>
              <c:showPercent val="0"/>
              <c:showBubbleSize val="0"/>
              <c:separator>
</c:separator>
            </c:dLbl>
            <c:dLbl>
              <c:idx val="10"/>
              <c:layout>
                <c:manualLayout>
                  <c:x val="4.2338882913792779E-2"/>
                  <c:y val="-6.2745092872618535E-2"/>
                </c:manualLayout>
              </c:layout>
              <c:dLblPos val="bestFit"/>
              <c:showLegendKey val="1"/>
              <c:showVal val="1"/>
              <c:showCatName val="1"/>
              <c:showSerName val="0"/>
              <c:showPercent val="0"/>
              <c:showBubbleSize val="0"/>
              <c:separator>
</c:separator>
            </c:dLbl>
            <c:dLbl>
              <c:idx val="11"/>
              <c:layout>
                <c:manualLayout>
                  <c:x val="0.15023474582313531"/>
                  <c:y val="-2.0915030957539524E-2"/>
                </c:manualLayout>
              </c:layout>
              <c:dLblPos val="bestFit"/>
              <c:showLegendKey val="1"/>
              <c:showVal val="1"/>
              <c:showCatName val="1"/>
              <c:showSerName val="0"/>
              <c:showPercent val="0"/>
              <c:showBubbleSize val="0"/>
              <c:separator>
</c:separator>
            </c:dLbl>
            <c:dLbl>
              <c:idx val="12"/>
              <c:layout>
                <c:manualLayout>
                  <c:x val="0.20623133290266757"/>
                  <c:y val="3.1372546436309282E-2"/>
                </c:manualLayout>
              </c:layout>
              <c:dLblPos val="bestFit"/>
              <c:showLegendKey val="1"/>
              <c:showVal val="1"/>
              <c:showCatName val="1"/>
              <c:showSerName val="0"/>
              <c:showPercent val="0"/>
              <c:showBubbleSize val="0"/>
              <c:separator>
</c:separator>
            </c:dLbl>
            <c:dLbl>
              <c:idx val="13"/>
              <c:layout>
                <c:manualLayout>
                  <c:x val="0.21442595540211132"/>
                  <c:y val="0.12967319193674504"/>
                </c:manualLayout>
              </c:layout>
              <c:dLblPos val="bestFit"/>
              <c:showLegendKey val="1"/>
              <c:showVal val="1"/>
              <c:showCatName val="1"/>
              <c:showSerName val="0"/>
              <c:showPercent val="0"/>
              <c:showBubbleSize val="0"/>
              <c:separator>
</c:separator>
            </c:dLbl>
            <c:numFmt formatCode="#,##0.00" sourceLinked="0"/>
            <c:spPr>
              <a:noFill/>
            </c:spPr>
            <c:txPr>
              <a:bodyPr rot="0" vert="horz" anchor="ctr" anchorCtr="0"/>
              <a:lstStyle/>
              <a:p>
                <a:pPr>
                  <a:defRPr sz="1050" baseline="0"/>
                </a:pPr>
                <a:endParaRPr lang="ru-RU"/>
              </a:p>
            </c:txPr>
            <c:dLblPos val="outEnd"/>
            <c:showLegendKey val="1"/>
            <c:showVal val="1"/>
            <c:showCatName val="1"/>
            <c:showSerName val="0"/>
            <c:showPercent val="0"/>
            <c:showBubbleSize val="0"/>
            <c:separator>
</c:separator>
            <c:showLeaderLines val="1"/>
          </c:dLbls>
          <c:cat>
            <c:strRef>
              <c:f>Лист1!$B$1:$O$1</c:f>
              <c:strCache>
                <c:ptCount val="14"/>
                <c:pt idx="0">
                  <c:v>Петропавловск-Камчатский</c:v>
                </c:pt>
                <c:pt idx="1">
                  <c:v>Вилючинский</c:v>
                </c:pt>
                <c:pt idx="2">
                  <c:v>п. Палана</c:v>
                </c:pt>
                <c:pt idx="3">
                  <c:v>Алеутский</c:v>
                </c:pt>
                <c:pt idx="4">
                  <c:v>Быстринский</c:v>
                </c:pt>
                <c:pt idx="5">
                  <c:v>Елизовский</c:v>
                </c:pt>
                <c:pt idx="6">
                  <c:v>Мильковский</c:v>
                </c:pt>
                <c:pt idx="7">
                  <c:v>Соболевский</c:v>
                </c:pt>
                <c:pt idx="8">
                  <c:v>Усть-Большерецкий</c:v>
                </c:pt>
                <c:pt idx="9">
                  <c:v>Усть-Камчатский</c:v>
                </c:pt>
                <c:pt idx="10">
                  <c:v>Карагинский</c:v>
                </c:pt>
                <c:pt idx="11">
                  <c:v>Олюторский</c:v>
                </c:pt>
                <c:pt idx="12">
                  <c:v>Пенжинский</c:v>
                </c:pt>
                <c:pt idx="13">
                  <c:v>Тигильский</c:v>
                </c:pt>
              </c:strCache>
            </c:strRef>
          </c:cat>
          <c:val>
            <c:numRef>
              <c:f>Лист1!$B$2:$O$2</c:f>
              <c:numCache>
                <c:formatCode>0.00;[Red]0.00</c:formatCode>
                <c:ptCount val="14"/>
                <c:pt idx="0">
                  <c:v>1</c:v>
                </c:pt>
                <c:pt idx="1">
                  <c:v>0</c:v>
                </c:pt>
                <c:pt idx="2">
                  <c:v>1</c:v>
                </c:pt>
                <c:pt idx="3">
                  <c:v>0</c:v>
                </c:pt>
                <c:pt idx="4">
                  <c:v>0.34</c:v>
                </c:pt>
                <c:pt idx="5">
                  <c:v>0.47</c:v>
                </c:pt>
                <c:pt idx="6">
                  <c:v>0.48</c:v>
                </c:pt>
                <c:pt idx="7">
                  <c:v>0</c:v>
                </c:pt>
                <c:pt idx="8">
                  <c:v>0.32</c:v>
                </c:pt>
                <c:pt idx="9">
                  <c:v>0.28000000000000003</c:v>
                </c:pt>
                <c:pt idx="10">
                  <c:v>0</c:v>
                </c:pt>
                <c:pt idx="11">
                  <c:v>0.42</c:v>
                </c:pt>
                <c:pt idx="12">
                  <c:v>0</c:v>
                </c:pt>
                <c:pt idx="13">
                  <c:v>1</c:v>
                </c:pt>
              </c:numCache>
            </c:numRef>
          </c:val>
        </c:ser>
        <c:dLbls>
          <c:showLegendKey val="0"/>
          <c:showVal val="0"/>
          <c:showCatName val="0"/>
          <c:showSerName val="0"/>
          <c:showPercent val="0"/>
          <c:showBubbleSize val="0"/>
          <c:showLeaderLines val="1"/>
        </c:dLbls>
      </c:pie3DChart>
    </c:plotArea>
    <c:plotVisOnly val="1"/>
    <c:dispBlanksAs val="gap"/>
    <c:showDLblsOverMax val="0"/>
  </c:chart>
  <c:spPr>
    <a:noFill/>
    <a:ln>
      <a:noFill/>
    </a:ln>
  </c:spPr>
  <c:externalData r:id="rId5">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rAngAx val="0"/>
      <c:perspective val="20"/>
    </c:view3D>
    <c:floor>
      <c:thickness val="0"/>
    </c:floor>
    <c:sideWall>
      <c:thickness val="0"/>
    </c:sideWall>
    <c:backWall>
      <c:thickness val="0"/>
    </c:backWall>
    <c:plotArea>
      <c:layout>
        <c:manualLayout>
          <c:layoutTarget val="inner"/>
          <c:xMode val="edge"/>
          <c:yMode val="edge"/>
          <c:x val="4.4336087087474718E-2"/>
          <c:y val="0.37367928468666367"/>
          <c:w val="0.94209300760481862"/>
          <c:h val="0.37550959371728826"/>
        </c:manualLayout>
      </c:layout>
      <c:bar3DChart>
        <c:barDir val="col"/>
        <c:grouping val="clustered"/>
        <c:varyColors val="0"/>
        <c:ser>
          <c:idx val="2"/>
          <c:order val="0"/>
          <c:tx>
            <c:strRef>
              <c:f>Лист1!$A$4</c:f>
              <c:strCache>
                <c:ptCount val="1"/>
                <c:pt idx="0">
                  <c:v>Объем инвестиций в основной капитал (за исключением бюджетных средств) 
в расчете на 1 жителя</c:v>
                </c:pt>
              </c:strCache>
            </c:strRef>
          </c:tx>
          <c:spPr>
            <a:pattFill prst="solidDmnd">
              <a:fgClr>
                <a:srgbClr val="C00000"/>
              </a:fgClr>
              <a:bgClr>
                <a:schemeClr val="bg1">
                  <a:lumMod val="75000"/>
                </a:schemeClr>
              </a:bgClr>
            </a:pattFill>
          </c:spPr>
          <c:invertIfNegative val="0"/>
          <c:dLbls>
            <c:dLbl>
              <c:idx val="1"/>
              <c:layout>
                <c:manualLayout>
                  <c:x val="0"/>
                  <c:y val="1.671891327063741E-2"/>
                </c:manualLayout>
              </c:layout>
              <c:showLegendKey val="0"/>
              <c:showVal val="1"/>
              <c:showCatName val="0"/>
              <c:showSerName val="0"/>
              <c:showPercent val="0"/>
              <c:showBubbleSize val="0"/>
            </c:dLbl>
            <c:dLbl>
              <c:idx val="3"/>
              <c:layout>
                <c:manualLayout>
                  <c:x val="-4.0941658137154556E-3"/>
                  <c:y val="1.8808777429467009E-2"/>
                </c:manualLayout>
              </c:layout>
              <c:showLegendKey val="0"/>
              <c:showVal val="1"/>
              <c:showCatName val="0"/>
              <c:showSerName val="0"/>
              <c:showPercent val="0"/>
              <c:showBubbleSize val="0"/>
            </c:dLbl>
            <c:dLbl>
              <c:idx val="4"/>
              <c:layout>
                <c:manualLayout>
                  <c:x val="-4.0941658137154556E-3"/>
                  <c:y val="1.8808777429467086E-2"/>
                </c:manualLayout>
              </c:layout>
              <c:showLegendKey val="0"/>
              <c:showVal val="1"/>
              <c:showCatName val="0"/>
              <c:showSerName val="0"/>
              <c:showPercent val="0"/>
              <c:showBubbleSize val="0"/>
            </c:dLbl>
            <c:dLbl>
              <c:idx val="5"/>
              <c:layout>
                <c:manualLayout>
                  <c:x val="0"/>
                  <c:y val="6.2740190391561562E-2"/>
                </c:manualLayout>
              </c:layout>
              <c:showLegendKey val="0"/>
              <c:showVal val="1"/>
              <c:showCatName val="0"/>
              <c:showSerName val="0"/>
              <c:showPercent val="0"/>
              <c:showBubbleSize val="0"/>
            </c:dLbl>
            <c:dLbl>
              <c:idx val="6"/>
              <c:layout>
                <c:manualLayout>
                  <c:x val="-2.7294438758103039E-3"/>
                  <c:y val="8.3594566353186271E-3"/>
                </c:manualLayout>
              </c:layout>
              <c:showLegendKey val="0"/>
              <c:showVal val="1"/>
              <c:showCatName val="0"/>
              <c:showSerName val="0"/>
              <c:showPercent val="0"/>
              <c:showBubbleSize val="0"/>
            </c:dLbl>
            <c:dLbl>
              <c:idx val="8"/>
              <c:layout>
                <c:manualLayout>
                  <c:x val="-2.7294438758102037E-3"/>
                  <c:y val="1.2539184952978056E-2"/>
                </c:manualLayout>
              </c:layout>
              <c:showLegendKey val="0"/>
              <c:showVal val="1"/>
              <c:showCatName val="0"/>
              <c:showSerName val="0"/>
              <c:showPercent val="0"/>
              <c:showBubbleSize val="0"/>
            </c:dLbl>
            <c:dLbl>
              <c:idx val="9"/>
              <c:layout>
                <c:manualLayout>
                  <c:x val="-4.0941658137154556E-3"/>
                  <c:y val="1.0449320794148381E-2"/>
                </c:manualLayout>
              </c:layout>
              <c:showLegendKey val="0"/>
              <c:showVal val="1"/>
              <c:showCatName val="0"/>
              <c:showSerName val="0"/>
              <c:showPercent val="0"/>
              <c:showBubbleSize val="0"/>
            </c:dLbl>
            <c:dLbl>
              <c:idx val="10"/>
              <c:layout>
                <c:manualLayout>
                  <c:x val="-2.7294438758103039E-3"/>
                  <c:y val="2.5078369905956112E-2"/>
                </c:manualLayout>
              </c:layout>
              <c:showLegendKey val="0"/>
              <c:showVal val="1"/>
              <c:showCatName val="0"/>
              <c:showSerName val="0"/>
              <c:showPercent val="0"/>
              <c:showBubbleSize val="0"/>
            </c:dLbl>
            <c:txPr>
              <a:bodyPr rot="-5400000" vert="horz" anchor="ctr" anchorCtr="0"/>
              <a:lstStyle/>
              <a:p>
                <a:pPr>
                  <a:defRPr sz="10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Лист1!$B$4:$L$4</c:f>
              <c:numCache>
                <c:formatCode>0.00;[Red]0.00</c:formatCode>
                <c:ptCount val="11"/>
                <c:pt idx="0">
                  <c:v>0.05</c:v>
                </c:pt>
                <c:pt idx="1">
                  <c:v>1</c:v>
                </c:pt>
                <c:pt idx="2">
                  <c:v>0.13</c:v>
                </c:pt>
                <c:pt idx="3">
                  <c:v>0.05</c:v>
                </c:pt>
                <c:pt idx="4">
                  <c:v>0.23</c:v>
                </c:pt>
                <c:pt idx="5">
                  <c:v>0.34</c:v>
                </c:pt>
                <c:pt idx="6">
                  <c:v>7.0000000000000007E-2</c:v>
                </c:pt>
                <c:pt idx="7">
                  <c:v>0.32</c:v>
                </c:pt>
                <c:pt idx="8">
                  <c:v>0.13</c:v>
                </c:pt>
                <c:pt idx="9">
                  <c:v>1.9998163727386526E-3</c:v>
                </c:pt>
                <c:pt idx="10">
                  <c:v>0.06</c:v>
                </c:pt>
              </c:numCache>
            </c:numRef>
          </c:val>
        </c:ser>
        <c:ser>
          <c:idx val="3"/>
          <c:order val="1"/>
          <c:tx>
            <c:strRef>
              <c:f>Лист1!$A$5</c:f>
              <c:strCache>
                <c:ptCount val="1"/>
                <c:pt idx="0">
                  <c:v>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c:v>
                </c:pt>
              </c:strCache>
            </c:strRef>
          </c:tx>
          <c:spPr>
            <a:pattFill prst="pct90">
              <a:fgClr>
                <a:schemeClr val="accent6">
                  <a:lumMod val="50000"/>
                </a:schemeClr>
              </a:fgClr>
              <a:bgClr>
                <a:schemeClr val="bg1"/>
              </a:bgClr>
            </a:pattFill>
          </c:spPr>
          <c:invertIfNegative val="0"/>
          <c:dLbls>
            <c:dLbl>
              <c:idx val="0"/>
              <c:layout>
                <c:manualLayout>
                  <c:x val="9.5144356955380576E-4"/>
                  <c:y val="1.3442963364223206E-2"/>
                </c:manualLayout>
              </c:layout>
              <c:showLegendKey val="0"/>
              <c:showVal val="1"/>
              <c:showCatName val="0"/>
              <c:showSerName val="0"/>
              <c:showPercent val="0"/>
              <c:showBubbleSize val="0"/>
            </c:dLbl>
            <c:dLbl>
              <c:idx val="1"/>
              <c:layout>
                <c:manualLayout>
                  <c:x val="2.3161047176795406E-3"/>
                  <c:y val="6.2695480018314662E-3"/>
                </c:manualLayout>
              </c:layout>
              <c:showLegendKey val="0"/>
              <c:showVal val="1"/>
              <c:showCatName val="0"/>
              <c:showSerName val="0"/>
              <c:showPercent val="0"/>
              <c:showBubbleSize val="0"/>
            </c:dLbl>
            <c:dLbl>
              <c:idx val="3"/>
              <c:layout>
                <c:manualLayout>
                  <c:x val="-4.0941658137154556E-3"/>
                  <c:y val="1.8808777429467086E-2"/>
                </c:manualLayout>
              </c:layout>
              <c:showLegendKey val="0"/>
              <c:showVal val="1"/>
              <c:showCatName val="0"/>
              <c:showSerName val="0"/>
              <c:showPercent val="0"/>
              <c:showBubbleSize val="0"/>
            </c:dLbl>
            <c:dLbl>
              <c:idx val="5"/>
              <c:layout>
                <c:manualLayout>
                  <c:x val="0"/>
                  <c:y val="3.1347962382445138E-2"/>
                </c:manualLayout>
              </c:layout>
              <c:showLegendKey val="0"/>
              <c:showVal val="1"/>
              <c:showCatName val="0"/>
              <c:showSerName val="0"/>
              <c:showPercent val="0"/>
              <c:showBubbleSize val="0"/>
            </c:dLbl>
            <c:dLbl>
              <c:idx val="10"/>
              <c:layout>
                <c:manualLayout>
                  <c:x val="-4.0941658137154556E-3"/>
                  <c:y val="2.0898641588296761E-2"/>
                </c:manualLayout>
              </c:layout>
              <c:showLegendKey val="0"/>
              <c:showVal val="1"/>
              <c:showCatName val="0"/>
              <c:showSerName val="0"/>
              <c:showPercent val="0"/>
              <c:showBubbleSize val="0"/>
            </c:dLbl>
            <c:txPr>
              <a:bodyPr rot="-5400000" vert="horz" anchor="ctr" anchorCtr="0"/>
              <a:lstStyle/>
              <a:p>
                <a:pPr>
                  <a:defRPr sz="10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Лист1!$B$5:$L$5</c:f>
              <c:numCache>
                <c:formatCode>0.00;[Red]0.00</c:formatCode>
                <c:ptCount val="11"/>
                <c:pt idx="0">
                  <c:v>7.0000000000000007E-2</c:v>
                </c:pt>
                <c:pt idx="1">
                  <c:v>0.17</c:v>
                </c:pt>
                <c:pt idx="2">
                  <c:v>0.02</c:v>
                </c:pt>
                <c:pt idx="3">
                  <c:v>0.47</c:v>
                </c:pt>
                <c:pt idx="4">
                  <c:v>7.0000000000000007E-2</c:v>
                </c:pt>
                <c:pt idx="5">
                  <c:v>0.45</c:v>
                </c:pt>
                <c:pt idx="6">
                  <c:v>0</c:v>
                </c:pt>
                <c:pt idx="7">
                  <c:v>0</c:v>
                </c:pt>
                <c:pt idx="8">
                  <c:v>0.7</c:v>
                </c:pt>
                <c:pt idx="9">
                  <c:v>7.0000000000000007E-2</c:v>
                </c:pt>
                <c:pt idx="10">
                  <c:v>0</c:v>
                </c:pt>
              </c:numCache>
            </c:numRef>
          </c:val>
        </c:ser>
        <c:ser>
          <c:idx val="5"/>
          <c:order val="2"/>
          <c:tx>
            <c:strRef>
              <c:f>Лист1!$A$7</c:f>
              <c:strCache>
                <c:ptCount val="1"/>
                <c:pt idx="0">
                  <c:v>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c:v>
                </c:pt>
              </c:strCache>
            </c:strRef>
          </c:tx>
          <c:spPr>
            <a:pattFill prst="trellis">
              <a:fgClr>
                <a:schemeClr val="tx2">
                  <a:lumMod val="60000"/>
                  <a:lumOff val="40000"/>
                </a:schemeClr>
              </a:fgClr>
              <a:bgClr>
                <a:schemeClr val="bg1"/>
              </a:bgClr>
            </a:pattFill>
          </c:spPr>
          <c:invertIfNegative val="0"/>
          <c:dLbls>
            <c:dLbl>
              <c:idx val="0"/>
              <c:layout>
                <c:manualLayout>
                  <c:x val="0"/>
                  <c:y val="1.638001638001638E-2"/>
                </c:manualLayout>
              </c:layout>
              <c:showLegendKey val="0"/>
              <c:showVal val="1"/>
              <c:showCatName val="0"/>
              <c:showSerName val="0"/>
              <c:showPercent val="0"/>
              <c:showBubbleSize val="0"/>
            </c:dLbl>
            <c:dLbl>
              <c:idx val="1"/>
              <c:layout>
                <c:manualLayout>
                  <c:x val="1.3647219379051268E-3"/>
                  <c:y val="1.8808777429467086E-2"/>
                </c:manualLayout>
              </c:layout>
              <c:showLegendKey val="0"/>
              <c:showVal val="1"/>
              <c:showCatName val="0"/>
              <c:showSerName val="0"/>
              <c:showPercent val="0"/>
              <c:showBubbleSize val="0"/>
            </c:dLbl>
            <c:dLbl>
              <c:idx val="2"/>
              <c:layout>
                <c:manualLayout>
                  <c:x val="-6.41025641025641E-3"/>
                  <c:y val="0"/>
                </c:manualLayout>
              </c:layout>
              <c:showLegendKey val="0"/>
              <c:showVal val="1"/>
              <c:showCatName val="0"/>
              <c:showSerName val="0"/>
              <c:showPercent val="0"/>
              <c:showBubbleSize val="0"/>
            </c:dLbl>
            <c:dLbl>
              <c:idx val="3"/>
              <c:layout>
                <c:manualLayout>
                  <c:x val="0"/>
                  <c:y val="1.8808777429467086E-2"/>
                </c:manualLayout>
              </c:layout>
              <c:showLegendKey val="0"/>
              <c:showVal val="1"/>
              <c:showCatName val="0"/>
              <c:showSerName val="0"/>
              <c:showPercent val="0"/>
              <c:showBubbleSize val="0"/>
            </c:dLbl>
            <c:dLbl>
              <c:idx val="5"/>
              <c:layout>
                <c:manualLayout>
                  <c:x val="0"/>
                  <c:y val="7.1086482528241957E-2"/>
                </c:manualLayout>
              </c:layout>
              <c:showLegendKey val="0"/>
              <c:showVal val="1"/>
              <c:showCatName val="0"/>
              <c:showSerName val="0"/>
              <c:showPercent val="0"/>
              <c:showBubbleSize val="0"/>
            </c:dLbl>
            <c:dLbl>
              <c:idx val="6"/>
              <c:layout>
                <c:manualLayout>
                  <c:x val="-2.7294438758103039E-3"/>
                  <c:y val="1.2539184952978056E-2"/>
                </c:manualLayout>
              </c:layout>
              <c:showLegendKey val="0"/>
              <c:showVal val="1"/>
              <c:showCatName val="0"/>
              <c:showSerName val="0"/>
              <c:showPercent val="0"/>
              <c:showBubbleSize val="0"/>
            </c:dLbl>
            <c:dLbl>
              <c:idx val="9"/>
              <c:layout>
                <c:manualLayout>
                  <c:x val="-4.0941658137154556E-3"/>
                  <c:y val="4.1797283176593526E-3"/>
                </c:manualLayout>
              </c:layout>
              <c:showLegendKey val="0"/>
              <c:showVal val="1"/>
              <c:showCatName val="0"/>
              <c:showSerName val="0"/>
              <c:showPercent val="0"/>
              <c:showBubbleSize val="0"/>
            </c:dLbl>
            <c:txPr>
              <a:bodyPr rot="-5400000" vert="horz"/>
              <a:lstStyle/>
              <a:p>
                <a:pPr>
                  <a:defRPr sz="10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Лист1!$B$7:$L$7</c:f>
              <c:numCache>
                <c:formatCode>0.00;[Red]0.00</c:formatCode>
                <c:ptCount val="11"/>
                <c:pt idx="0">
                  <c:v>1</c:v>
                </c:pt>
                <c:pt idx="1">
                  <c:v>0.72</c:v>
                </c:pt>
                <c:pt idx="2">
                  <c:v>0.91</c:v>
                </c:pt>
                <c:pt idx="3">
                  <c:v>0.99</c:v>
                </c:pt>
                <c:pt idx="4">
                  <c:v>0.63</c:v>
                </c:pt>
                <c:pt idx="5">
                  <c:v>0.59</c:v>
                </c:pt>
                <c:pt idx="6">
                  <c:v>0.86</c:v>
                </c:pt>
                <c:pt idx="7">
                  <c:v>0.59</c:v>
                </c:pt>
                <c:pt idx="8">
                  <c:v>0.15</c:v>
                </c:pt>
                <c:pt idx="9">
                  <c:v>0.59</c:v>
                </c:pt>
                <c:pt idx="10">
                  <c:v>1</c:v>
                </c:pt>
              </c:numCache>
            </c:numRef>
          </c:val>
        </c:ser>
        <c:ser>
          <c:idx val="6"/>
          <c:order val="3"/>
          <c:tx>
            <c:strRef>
              <c:f>Лист1!$A$8</c:f>
              <c:strCache>
                <c:ptCount val="1"/>
                <c:pt idx="0">
                  <c:v>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c:v>
                </c:pt>
              </c:strCache>
            </c:strRef>
          </c:tx>
          <c:spPr>
            <a:pattFill prst="pct90">
              <a:fgClr>
                <a:srgbClr val="92D050"/>
              </a:fgClr>
              <a:bgClr>
                <a:schemeClr val="tx1">
                  <a:lumMod val="95000"/>
                  <a:lumOff val="5000"/>
                </a:schemeClr>
              </a:bgClr>
            </a:pattFill>
          </c:spPr>
          <c:invertIfNegative val="0"/>
          <c:dLbls>
            <c:dLbl>
              <c:idx val="0"/>
              <c:layout>
                <c:manualLayout>
                  <c:x val="1.0683760683760684E-2"/>
                  <c:y val="-6.5520065520065524E-3"/>
                </c:manualLayout>
              </c:layout>
              <c:showLegendKey val="0"/>
              <c:showVal val="1"/>
              <c:showCatName val="0"/>
              <c:showSerName val="0"/>
              <c:showPercent val="0"/>
              <c:showBubbleSize val="0"/>
            </c:dLbl>
            <c:dLbl>
              <c:idx val="1"/>
              <c:layout>
                <c:manualLayout>
                  <c:x val="8.1883316274309111E-3"/>
                  <c:y val="1.2539184952978056E-2"/>
                </c:manualLayout>
              </c:layout>
              <c:showLegendKey val="0"/>
              <c:showVal val="1"/>
              <c:showCatName val="0"/>
              <c:showSerName val="0"/>
              <c:showPercent val="0"/>
              <c:showBubbleSize val="0"/>
            </c:dLbl>
            <c:dLbl>
              <c:idx val="2"/>
              <c:layout>
                <c:manualLayout>
                  <c:x val="0"/>
                  <c:y val="2.2932022932022931E-2"/>
                </c:manualLayout>
              </c:layout>
              <c:showLegendKey val="0"/>
              <c:showVal val="1"/>
              <c:showCatName val="0"/>
              <c:showSerName val="0"/>
              <c:showPercent val="0"/>
              <c:showBubbleSize val="0"/>
            </c:dLbl>
            <c:dLbl>
              <c:idx val="3"/>
              <c:layout>
                <c:manualLayout>
                  <c:x val="6.823609689525759E-3"/>
                  <c:y val="1.2539184952978056E-2"/>
                </c:manualLayout>
              </c:layout>
              <c:showLegendKey val="0"/>
              <c:showVal val="1"/>
              <c:showCatName val="0"/>
              <c:showSerName val="0"/>
              <c:showPercent val="0"/>
              <c:showBubbleSize val="0"/>
            </c:dLbl>
            <c:dLbl>
              <c:idx val="4"/>
              <c:layout>
                <c:manualLayout>
                  <c:x val="4.0941658137154556E-3"/>
                  <c:y val="6.269592476489028E-3"/>
                </c:manualLayout>
              </c:layout>
              <c:showLegendKey val="0"/>
              <c:showVal val="1"/>
              <c:showCatName val="0"/>
              <c:showSerName val="0"/>
              <c:showPercent val="0"/>
              <c:showBubbleSize val="0"/>
            </c:dLbl>
            <c:dLbl>
              <c:idx val="5"/>
              <c:layout>
                <c:manualLayout>
                  <c:x val="2.7294438758103039E-3"/>
                  <c:y val="3.134796238244518E-2"/>
                </c:manualLayout>
              </c:layout>
              <c:showLegendKey val="0"/>
              <c:showVal val="1"/>
              <c:showCatName val="0"/>
              <c:showSerName val="0"/>
              <c:showPercent val="0"/>
              <c:showBubbleSize val="0"/>
            </c:dLbl>
            <c:dLbl>
              <c:idx val="6"/>
              <c:layout>
                <c:manualLayout>
                  <c:x val="2.7294438758103039E-3"/>
                  <c:y val="6.269592476489028E-3"/>
                </c:manualLayout>
              </c:layout>
              <c:showLegendKey val="0"/>
              <c:showVal val="1"/>
              <c:showCatName val="0"/>
              <c:showSerName val="0"/>
              <c:showPercent val="0"/>
              <c:showBubbleSize val="0"/>
            </c:dLbl>
            <c:dLbl>
              <c:idx val="8"/>
              <c:layout>
                <c:manualLayout>
                  <c:x val="5.4588877516205071E-3"/>
                  <c:y val="1.0449320794148381E-2"/>
                </c:manualLayout>
              </c:layout>
              <c:showLegendKey val="0"/>
              <c:showVal val="1"/>
              <c:showCatName val="0"/>
              <c:showSerName val="0"/>
              <c:showPercent val="0"/>
              <c:showBubbleSize val="0"/>
            </c:dLbl>
            <c:dLbl>
              <c:idx val="9"/>
              <c:layout>
                <c:manualLayout>
                  <c:x val="0"/>
                  <c:y val="6.269592476489028E-3"/>
                </c:manualLayout>
              </c:layout>
              <c:showLegendKey val="0"/>
              <c:showVal val="1"/>
              <c:showCatName val="0"/>
              <c:showSerName val="0"/>
              <c:showPercent val="0"/>
              <c:showBubbleSize val="0"/>
            </c:dLbl>
            <c:txPr>
              <a:bodyPr rot="-5400000" vert="horz" anchor="ctr" anchorCtr="0"/>
              <a:lstStyle/>
              <a:p>
                <a:pPr>
                  <a:defRPr sz="10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Лист1!$B$8:$L$8</c:f>
              <c:numCache>
                <c:formatCode>0.00;[Red]0.00</c:formatCode>
                <c:ptCount val="11"/>
                <c:pt idx="0">
                  <c:v>0</c:v>
                </c:pt>
                <c:pt idx="1">
                  <c:v>0.3</c:v>
                </c:pt>
                <c:pt idx="2">
                  <c:v>0.99901333333333331</c:v>
                </c:pt>
                <c:pt idx="3">
                  <c:v>1</c:v>
                </c:pt>
                <c:pt idx="4">
                  <c:v>0.43</c:v>
                </c:pt>
                <c:pt idx="5">
                  <c:v>0.28000000000000003</c:v>
                </c:pt>
                <c:pt idx="6">
                  <c:v>1</c:v>
                </c:pt>
                <c:pt idx="7">
                  <c:v>0.28999999999999998</c:v>
                </c:pt>
                <c:pt idx="8">
                  <c:v>0</c:v>
                </c:pt>
                <c:pt idx="9">
                  <c:v>0</c:v>
                </c:pt>
                <c:pt idx="10">
                  <c:v>0.16</c:v>
                </c:pt>
              </c:numCache>
            </c:numRef>
          </c:val>
        </c:ser>
        <c:dLbls>
          <c:showLegendKey val="0"/>
          <c:showVal val="0"/>
          <c:showCatName val="0"/>
          <c:showSerName val="0"/>
          <c:showPercent val="0"/>
          <c:showBubbleSize val="0"/>
        </c:dLbls>
        <c:gapWidth val="92"/>
        <c:gapDepth val="70"/>
        <c:shape val="box"/>
        <c:axId val="182233728"/>
        <c:axId val="182239616"/>
        <c:axId val="0"/>
      </c:bar3DChart>
      <c:catAx>
        <c:axId val="182233728"/>
        <c:scaling>
          <c:orientation val="minMax"/>
        </c:scaling>
        <c:delete val="0"/>
        <c:axPos val="b"/>
        <c:majorGridlines/>
        <c:majorTickMark val="out"/>
        <c:minorTickMark val="none"/>
        <c:tickLblPos val="nextTo"/>
        <c:txPr>
          <a:bodyPr/>
          <a:lstStyle/>
          <a:p>
            <a:pPr>
              <a:defRPr sz="1000" baseline="0"/>
            </a:pPr>
            <a:endParaRPr lang="ru-RU"/>
          </a:p>
        </c:txPr>
        <c:crossAx val="182239616"/>
        <c:crosses val="autoZero"/>
        <c:auto val="0"/>
        <c:lblAlgn val="ctr"/>
        <c:lblOffset val="100"/>
        <c:noMultiLvlLbl val="0"/>
      </c:catAx>
      <c:valAx>
        <c:axId val="182239616"/>
        <c:scaling>
          <c:orientation val="minMax"/>
        </c:scaling>
        <c:delete val="1"/>
        <c:axPos val="l"/>
        <c:majorGridlines/>
        <c:minorGridlines/>
        <c:numFmt formatCode="General" sourceLinked="0"/>
        <c:majorTickMark val="out"/>
        <c:minorTickMark val="none"/>
        <c:tickLblPos val="nextTo"/>
        <c:crossAx val="182233728"/>
        <c:crossesAt val="1"/>
        <c:crossBetween val="between"/>
      </c:valAx>
      <c:spPr>
        <a:ln w="3175" cmpd="sng"/>
        <a:effectLst>
          <a:glow>
            <a:schemeClr val="accent1">
              <a:alpha val="40000"/>
            </a:schemeClr>
          </a:glow>
        </a:effectLst>
      </c:spPr>
    </c:plotArea>
    <c:legend>
      <c:legendPos val="t"/>
      <c:layout>
        <c:manualLayout>
          <c:xMode val="edge"/>
          <c:yMode val="edge"/>
          <c:x val="1.6170775784174515E-2"/>
          <c:y val="0"/>
          <c:w val="0.98382922421582553"/>
          <c:h val="0.31667100451355712"/>
        </c:manualLayout>
      </c:layout>
      <c:overlay val="0"/>
      <c:txPr>
        <a:bodyPr/>
        <a:lstStyle/>
        <a:p>
          <a:pPr rtl="0">
            <a:defRPr sz="1000" baseline="0"/>
          </a:pPr>
          <a:endParaRPr lang="ru-RU"/>
        </a:p>
      </c:txPr>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0"/>
      <c:rotY val="0"/>
      <c:rAngAx val="0"/>
      <c:perspective val="20"/>
    </c:view3D>
    <c:floor>
      <c:thickness val="0"/>
    </c:floor>
    <c:sideWall>
      <c:thickness val="0"/>
    </c:sideWall>
    <c:backWall>
      <c:thickness val="0"/>
    </c:backWall>
    <c:plotArea>
      <c:layout>
        <c:manualLayout>
          <c:layoutTarget val="inner"/>
          <c:xMode val="edge"/>
          <c:yMode val="edge"/>
          <c:x val="4.6651375953740686E-2"/>
          <c:y val="0.45846778975810742"/>
          <c:w val="0.92876808668147248"/>
          <c:h val="0.46604422604422602"/>
        </c:manualLayout>
      </c:layout>
      <c:bar3DChart>
        <c:barDir val="col"/>
        <c:grouping val="clustered"/>
        <c:varyColors val="0"/>
        <c:ser>
          <c:idx val="2"/>
          <c:order val="0"/>
          <c:tx>
            <c:strRef>
              <c:f>Лист1!$A$4</c:f>
              <c:strCache>
                <c:ptCount val="1"/>
                <c:pt idx="0">
                  <c:v>Объем инвестиций в основной капитал (за исключением бюджетных средств) 
в расчете на 1 жителя</c:v>
                </c:pt>
              </c:strCache>
            </c:strRef>
          </c:tx>
          <c:spPr>
            <a:pattFill prst="solidDmnd">
              <a:fgClr>
                <a:srgbClr val="C00000"/>
              </a:fgClr>
              <a:bgClr>
                <a:schemeClr val="bg1">
                  <a:lumMod val="75000"/>
                </a:schemeClr>
              </a:bgClr>
            </a:pattFill>
          </c:spPr>
          <c:invertIfNegative val="0"/>
          <c:dLbls>
            <c:dLbl>
              <c:idx val="5"/>
              <c:layout>
                <c:manualLayout>
                  <c:x val="0"/>
                  <c:y val="5.6470583585356712E-2"/>
                </c:manualLayout>
              </c:layout>
              <c:showLegendKey val="0"/>
              <c:showVal val="1"/>
              <c:showCatName val="0"/>
              <c:showSerName val="0"/>
              <c:showPercent val="0"/>
              <c:showBubbleSize val="0"/>
            </c:dLbl>
            <c:txPr>
              <a:bodyPr rot="-5400000" vert="horz" anchor="ctr" anchorCtr="0"/>
              <a:lstStyle/>
              <a:p>
                <a:pPr>
                  <a:defRPr sz="9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пгт. Палана</c:v>
                </c:pt>
              </c:strCache>
            </c:strRef>
          </c:cat>
          <c:val>
            <c:numRef>
              <c:f>Лист1!$B$4:$D$4</c:f>
              <c:numCache>
                <c:formatCode>0.00;[Red]0.00</c:formatCode>
                <c:ptCount val="3"/>
                <c:pt idx="0">
                  <c:v>0.87</c:v>
                </c:pt>
                <c:pt idx="1">
                  <c:v>0</c:v>
                </c:pt>
                <c:pt idx="2">
                  <c:v>0.65</c:v>
                </c:pt>
              </c:numCache>
            </c:numRef>
          </c:val>
          <c:shape val="box"/>
        </c:ser>
        <c:ser>
          <c:idx val="3"/>
          <c:order val="1"/>
          <c:tx>
            <c:strRef>
              <c:f>Лист1!$A$5</c:f>
              <c:strCache>
                <c:ptCount val="1"/>
                <c:pt idx="0">
                  <c:v>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c:v>
                </c:pt>
              </c:strCache>
            </c:strRef>
          </c:tx>
          <c:spPr>
            <a:pattFill prst="pct90">
              <a:fgClr>
                <a:schemeClr val="accent6">
                  <a:lumMod val="50000"/>
                </a:schemeClr>
              </a:fgClr>
              <a:bgClr>
                <a:schemeClr val="bg1"/>
              </a:bgClr>
            </a:pattFill>
          </c:spPr>
          <c:invertIfNegative val="0"/>
          <c:dLbls>
            <c:txPr>
              <a:bodyPr rot="-5400000" vert="horz" anchor="ctr" anchorCtr="0"/>
              <a:lstStyle/>
              <a:p>
                <a:pPr>
                  <a:defRPr sz="10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пгт. Палана</c:v>
                </c:pt>
              </c:strCache>
            </c:strRef>
          </c:cat>
          <c:val>
            <c:numRef>
              <c:f>Лист1!$B$5:$D$5</c:f>
              <c:numCache>
                <c:formatCode>0.00;[Red]0.00</c:formatCode>
                <c:ptCount val="3"/>
                <c:pt idx="0">
                  <c:v>0.4</c:v>
                </c:pt>
                <c:pt idx="1">
                  <c:v>0.6</c:v>
                </c:pt>
                <c:pt idx="2">
                  <c:v>0.36510787074269274</c:v>
                </c:pt>
              </c:numCache>
            </c:numRef>
          </c:val>
          <c:shape val="box"/>
        </c:ser>
        <c:ser>
          <c:idx val="5"/>
          <c:order val="2"/>
          <c:tx>
            <c:strRef>
              <c:f>Лист1!$A$7</c:f>
              <c:strCache>
                <c:ptCount val="1"/>
                <c:pt idx="0">
                  <c:v>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c:v>
                </c:pt>
              </c:strCache>
            </c:strRef>
          </c:tx>
          <c:spPr>
            <a:pattFill prst="trellis">
              <a:fgClr>
                <a:schemeClr val="tx2">
                  <a:lumMod val="60000"/>
                  <a:lumOff val="40000"/>
                </a:schemeClr>
              </a:fgClr>
              <a:bgClr>
                <a:schemeClr val="bg1"/>
              </a:bgClr>
            </a:pattFill>
          </c:spPr>
          <c:invertIfNegative val="0"/>
          <c:dLbls>
            <c:dLbl>
              <c:idx val="2"/>
              <c:layout>
                <c:manualLayout>
                  <c:x val="0"/>
                  <c:y val="0.10031347962382445"/>
                </c:manualLayout>
              </c:layout>
              <c:showLegendKey val="0"/>
              <c:showVal val="1"/>
              <c:showCatName val="0"/>
              <c:showSerName val="0"/>
              <c:showPercent val="0"/>
              <c:showBubbleSize val="0"/>
            </c:dLbl>
            <c:dLbl>
              <c:idx val="5"/>
              <c:layout>
                <c:manualLayout>
                  <c:x val="0"/>
                  <c:y val="3.9738558819325094E-2"/>
                </c:manualLayout>
              </c:layout>
              <c:showLegendKey val="0"/>
              <c:showVal val="1"/>
              <c:showCatName val="0"/>
              <c:showSerName val="0"/>
              <c:showPercent val="0"/>
              <c:showBubbleSize val="0"/>
            </c:dLbl>
            <c:txPr>
              <a:bodyPr rot="-5400000" vert="horz"/>
              <a:lstStyle/>
              <a:p>
                <a:pPr>
                  <a:defRPr sz="10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пгт. Палана</c:v>
                </c:pt>
              </c:strCache>
            </c:strRef>
          </c:cat>
          <c:val>
            <c:numRef>
              <c:f>Лист1!$B$7:$D$7</c:f>
              <c:numCache>
                <c:formatCode>0.00;[Red]0.00</c:formatCode>
                <c:ptCount val="3"/>
                <c:pt idx="0">
                  <c:v>0.71</c:v>
                </c:pt>
                <c:pt idx="1">
                  <c:v>0</c:v>
                </c:pt>
                <c:pt idx="2">
                  <c:v>1</c:v>
                </c:pt>
              </c:numCache>
            </c:numRef>
          </c:val>
          <c:shape val="box"/>
        </c:ser>
        <c:ser>
          <c:idx val="6"/>
          <c:order val="3"/>
          <c:tx>
            <c:strRef>
              <c:f>Лист1!$A$8</c:f>
              <c:strCache>
                <c:ptCount val="1"/>
                <c:pt idx="0">
                  <c:v>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c:v>
                </c:pt>
              </c:strCache>
            </c:strRef>
          </c:tx>
          <c:spPr>
            <a:pattFill prst="pct90">
              <a:fgClr>
                <a:srgbClr val="92D050"/>
              </a:fgClr>
              <a:bgClr>
                <a:schemeClr val="tx1">
                  <a:lumMod val="95000"/>
                  <a:lumOff val="5000"/>
                </a:schemeClr>
              </a:bgClr>
            </a:pattFill>
          </c:spPr>
          <c:invertIfNegative val="0"/>
          <c:dLbls>
            <c:dLbl>
              <c:idx val="0"/>
              <c:layout>
                <c:manualLayout>
                  <c:x val="-1.544013729053099E-3"/>
                  <c:y val="0.11019804342638988"/>
                </c:manualLayout>
              </c:layout>
              <c:showLegendKey val="0"/>
              <c:showVal val="1"/>
              <c:showCatName val="0"/>
              <c:showSerName val="0"/>
              <c:showPercent val="0"/>
              <c:showBubbleSize val="0"/>
            </c:dLbl>
            <c:dLbl>
              <c:idx val="1"/>
              <c:layout>
                <c:manualLayout>
                  <c:x val="2.7294438758103039E-3"/>
                  <c:y val="0.1044932079414838"/>
                </c:manualLayout>
              </c:layout>
              <c:showLegendKey val="0"/>
              <c:showVal val="1"/>
              <c:showCatName val="0"/>
              <c:showSerName val="0"/>
              <c:showPercent val="0"/>
              <c:showBubbleSize val="0"/>
            </c:dLbl>
            <c:txPr>
              <a:bodyPr rot="-5400000" vert="horz" anchor="ctr" anchorCtr="0"/>
              <a:lstStyle/>
              <a:p>
                <a:pPr>
                  <a:defRPr sz="10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пгт. Палана</c:v>
                </c:pt>
              </c:strCache>
            </c:strRef>
          </c:cat>
          <c:val>
            <c:numRef>
              <c:f>Лист1!$B$8:$D$8</c:f>
              <c:numCache>
                <c:formatCode>0.00;[Red]0.00</c:formatCode>
                <c:ptCount val="3"/>
                <c:pt idx="0">
                  <c:v>1</c:v>
                </c:pt>
                <c:pt idx="1">
                  <c:v>1</c:v>
                </c:pt>
                <c:pt idx="2">
                  <c:v>0</c:v>
                </c:pt>
              </c:numCache>
            </c:numRef>
          </c:val>
          <c:shape val="box"/>
        </c:ser>
        <c:dLbls>
          <c:showLegendKey val="0"/>
          <c:showVal val="0"/>
          <c:showCatName val="0"/>
          <c:showSerName val="0"/>
          <c:showPercent val="0"/>
          <c:showBubbleSize val="0"/>
        </c:dLbls>
        <c:gapWidth val="92"/>
        <c:gapDepth val="70"/>
        <c:shape val="cylinder"/>
        <c:axId val="182399744"/>
        <c:axId val="182401280"/>
        <c:axId val="0"/>
      </c:bar3DChart>
      <c:catAx>
        <c:axId val="182399744"/>
        <c:scaling>
          <c:orientation val="minMax"/>
        </c:scaling>
        <c:delete val="0"/>
        <c:axPos val="b"/>
        <c:majorGridlines/>
        <c:majorTickMark val="out"/>
        <c:minorTickMark val="none"/>
        <c:tickLblPos val="nextTo"/>
        <c:txPr>
          <a:bodyPr/>
          <a:lstStyle/>
          <a:p>
            <a:pPr>
              <a:defRPr sz="1000" baseline="0"/>
            </a:pPr>
            <a:endParaRPr lang="ru-RU"/>
          </a:p>
        </c:txPr>
        <c:crossAx val="182401280"/>
        <c:crosses val="autoZero"/>
        <c:auto val="0"/>
        <c:lblAlgn val="ctr"/>
        <c:lblOffset val="100"/>
        <c:noMultiLvlLbl val="0"/>
      </c:catAx>
      <c:valAx>
        <c:axId val="182401280"/>
        <c:scaling>
          <c:orientation val="minMax"/>
        </c:scaling>
        <c:delete val="1"/>
        <c:axPos val="l"/>
        <c:majorGridlines/>
        <c:minorGridlines/>
        <c:numFmt formatCode="General" sourceLinked="0"/>
        <c:majorTickMark val="out"/>
        <c:minorTickMark val="none"/>
        <c:tickLblPos val="nextTo"/>
        <c:crossAx val="182399744"/>
        <c:crossesAt val="1"/>
        <c:crossBetween val="between"/>
      </c:valAx>
      <c:spPr>
        <a:ln w="3175" cmpd="sng"/>
        <a:effectLst>
          <a:glow>
            <a:schemeClr val="accent1">
              <a:alpha val="40000"/>
            </a:schemeClr>
          </a:glow>
        </a:effectLst>
      </c:spPr>
    </c:plotArea>
    <c:legend>
      <c:legendPos val="t"/>
      <c:layout>
        <c:manualLayout>
          <c:xMode val="edge"/>
          <c:yMode val="edge"/>
          <c:x val="5.5138527336078894E-2"/>
          <c:y val="1.2539184952978056E-2"/>
          <c:w val="0.88972294532784224"/>
          <c:h val="0.41639753494762999"/>
        </c:manualLayout>
      </c:layout>
      <c:overlay val="0"/>
      <c:txPr>
        <a:bodyPr/>
        <a:lstStyle/>
        <a:p>
          <a:pPr rtl="0">
            <a:defRPr sz="900" baseline="0"/>
          </a:pPr>
          <a:endParaRPr lang="ru-RU"/>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nchor="ctr" anchorCtr="0"/>
          <a:lstStyle/>
          <a:p>
            <a:pPr>
              <a:defRPr sz="1050" baseline="0"/>
            </a:pPr>
            <a:r>
              <a:rPr lang="ru-RU" sz="1050" baseline="0"/>
              <a:t>Сводные индексы показателя </a:t>
            </a:r>
          </a:p>
          <a:p>
            <a:pPr>
              <a:defRPr sz="1050" baseline="0"/>
            </a:pPr>
            <a:r>
              <a:rPr lang="ru-RU" sz="1050" baseline="0"/>
              <a:t>"Среднемесячная </a:t>
            </a:r>
          </a:p>
          <a:p>
            <a:pPr>
              <a:defRPr sz="1050" baseline="0"/>
            </a:pPr>
            <a:r>
              <a:rPr lang="ru-RU" sz="1050" baseline="0"/>
              <a:t>номинальная </a:t>
            </a:r>
          </a:p>
          <a:p>
            <a:pPr>
              <a:defRPr sz="1050" baseline="0"/>
            </a:pPr>
            <a:r>
              <a:rPr lang="ru-RU" sz="1050" baseline="0"/>
              <a:t>начисленная заработная </a:t>
            </a:r>
          </a:p>
          <a:p>
            <a:pPr>
              <a:defRPr sz="1050" baseline="0"/>
            </a:pPr>
            <a:r>
              <a:rPr lang="ru-RU" sz="1050" baseline="0"/>
              <a:t>плата работников":</a:t>
            </a:r>
          </a:p>
        </c:rich>
      </c:tx>
      <c:layout>
        <c:manualLayout>
          <c:xMode val="edge"/>
          <c:yMode val="edge"/>
          <c:x val="4.568040165476376E-2"/>
          <c:y val="7.2835354575603584E-2"/>
        </c:manualLayout>
      </c:layout>
      <c:overlay val="0"/>
      <c:spPr>
        <a:ln w="25400">
          <a:noFill/>
        </a:ln>
      </c:spPr>
    </c:title>
    <c:autoTitleDeleted val="0"/>
    <c:view3D>
      <c:rotX val="50"/>
      <c:rotY val="0"/>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0.19818757798717784"/>
          <c:y val="2.4330873389780253E-2"/>
          <c:w val="0.77807334021771868"/>
          <c:h val="0.73392317069152968"/>
        </c:manualLayout>
      </c:layout>
      <c:bar3DChart>
        <c:barDir val="col"/>
        <c:grouping val="clustered"/>
        <c:varyColors val="0"/>
        <c:ser>
          <c:idx val="0"/>
          <c:order val="0"/>
          <c:tx>
            <c:strRef>
              <c:f>Лист1!$A$2</c:f>
              <c:strCache>
                <c:ptCount val="1"/>
                <c:pt idx="0">
                  <c:v>крупных и средних предприятий и некоммерческих организаций</c:v>
                </c:pt>
              </c:strCache>
            </c:strRef>
          </c:tx>
          <c:spPr>
            <a:pattFill prst="solidDmnd">
              <a:fgClr>
                <a:schemeClr val="accent2">
                  <a:lumMod val="75000"/>
                </a:schemeClr>
              </a:fgClr>
              <a:bgClr>
                <a:schemeClr val="bg2">
                  <a:lumMod val="50000"/>
                </a:schemeClr>
              </a:bgClr>
            </a:pattFill>
          </c:spPr>
          <c:invertIfNegative val="0"/>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Лист1!$B$2:$L$2</c:f>
              <c:numCache>
                <c:formatCode>0.00;[Red]0.00</c:formatCode>
                <c:ptCount val="11"/>
                <c:pt idx="0">
                  <c:v>0.63</c:v>
                </c:pt>
                <c:pt idx="1">
                  <c:v>0.05</c:v>
                </c:pt>
                <c:pt idx="2">
                  <c:v>0.22</c:v>
                </c:pt>
                <c:pt idx="3">
                  <c:v>0.3</c:v>
                </c:pt>
                <c:pt idx="4">
                  <c:v>0.62</c:v>
                </c:pt>
                <c:pt idx="5">
                  <c:v>0.33</c:v>
                </c:pt>
                <c:pt idx="6">
                  <c:v>0.31</c:v>
                </c:pt>
                <c:pt idx="7">
                  <c:v>0.36</c:v>
                </c:pt>
                <c:pt idx="8">
                  <c:v>0.55000000000000004</c:v>
                </c:pt>
                <c:pt idx="9">
                  <c:v>0.65</c:v>
                </c:pt>
                <c:pt idx="10">
                  <c:v>0.59</c:v>
                </c:pt>
              </c:numCache>
            </c:numRef>
          </c:val>
        </c:ser>
        <c:ser>
          <c:idx val="1"/>
          <c:order val="1"/>
          <c:tx>
            <c:strRef>
              <c:f>Лист1!$A$3</c:f>
              <c:strCache>
                <c:ptCount val="1"/>
                <c:pt idx="0">
                  <c:v>муниципальных дошкольных образовательных учреждений</c:v>
                </c:pt>
              </c:strCache>
            </c:strRef>
          </c:tx>
          <c:spPr>
            <a:pattFill prst="solidDmnd">
              <a:fgClr>
                <a:srgbClr val="FF0000"/>
              </a:fgClr>
              <a:bgClr>
                <a:schemeClr val="tx2">
                  <a:lumMod val="40000"/>
                  <a:lumOff val="60000"/>
                </a:schemeClr>
              </a:bgClr>
            </a:pattFill>
          </c:spPr>
          <c:invertIfNegative val="0"/>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Лист1!$B$3:$L$3</c:f>
              <c:numCache>
                <c:formatCode>0.00;[Red]0.00</c:formatCode>
                <c:ptCount val="11"/>
                <c:pt idx="0">
                  <c:v>0.38</c:v>
                </c:pt>
                <c:pt idx="1">
                  <c:v>0.45</c:v>
                </c:pt>
                <c:pt idx="2">
                  <c:v>0.21</c:v>
                </c:pt>
                <c:pt idx="3">
                  <c:v>0.78</c:v>
                </c:pt>
                <c:pt idx="4">
                  <c:v>0.3</c:v>
                </c:pt>
                <c:pt idx="5">
                  <c:v>0.62</c:v>
                </c:pt>
                <c:pt idx="6">
                  <c:v>0.68</c:v>
                </c:pt>
                <c:pt idx="7">
                  <c:v>0.42</c:v>
                </c:pt>
                <c:pt idx="8">
                  <c:v>0.89</c:v>
                </c:pt>
                <c:pt idx="9">
                  <c:v>0.26</c:v>
                </c:pt>
                <c:pt idx="10">
                  <c:v>0.21</c:v>
                </c:pt>
              </c:numCache>
            </c:numRef>
          </c:val>
        </c:ser>
        <c:ser>
          <c:idx val="2"/>
          <c:order val="2"/>
          <c:tx>
            <c:strRef>
              <c:f>Лист1!$A$4</c:f>
              <c:strCache>
                <c:ptCount val="1"/>
                <c:pt idx="0">
                  <c:v>муниципальных общеобразовательных учреждений</c:v>
                </c:pt>
              </c:strCache>
            </c:strRef>
          </c:tx>
          <c:spPr>
            <a:pattFill prst="solidDmnd">
              <a:fgClr>
                <a:srgbClr val="00B050"/>
              </a:fgClr>
              <a:bgClr>
                <a:schemeClr val="accent6">
                  <a:lumMod val="60000"/>
                  <a:lumOff val="40000"/>
                </a:schemeClr>
              </a:bgClr>
            </a:pattFill>
          </c:spPr>
          <c:invertIfNegative val="0"/>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Лист1!$B$4:$L$4</c:f>
              <c:numCache>
                <c:formatCode>0.00;[Red]0.00</c:formatCode>
                <c:ptCount val="11"/>
                <c:pt idx="0">
                  <c:v>0.64</c:v>
                </c:pt>
                <c:pt idx="1">
                  <c:v>0.51</c:v>
                </c:pt>
                <c:pt idx="2">
                  <c:v>0</c:v>
                </c:pt>
                <c:pt idx="3">
                  <c:v>0.14000000000000001</c:v>
                </c:pt>
                <c:pt idx="4">
                  <c:v>0.38</c:v>
                </c:pt>
                <c:pt idx="5">
                  <c:v>0.2</c:v>
                </c:pt>
                <c:pt idx="6">
                  <c:v>0.67</c:v>
                </c:pt>
                <c:pt idx="7">
                  <c:v>0.51</c:v>
                </c:pt>
                <c:pt idx="8">
                  <c:v>0.4</c:v>
                </c:pt>
                <c:pt idx="9">
                  <c:v>0.24</c:v>
                </c:pt>
                <c:pt idx="10">
                  <c:v>0.64</c:v>
                </c:pt>
              </c:numCache>
            </c:numRef>
          </c:val>
        </c:ser>
        <c:ser>
          <c:idx val="3"/>
          <c:order val="3"/>
          <c:tx>
            <c:strRef>
              <c:f>Лист1!$A$5</c:f>
              <c:strCache>
                <c:ptCount val="1"/>
                <c:pt idx="0">
                  <c:v>учителей муниципальных общеобразовательных учреждений</c:v>
                </c:pt>
              </c:strCache>
            </c:strRef>
          </c:tx>
          <c:spPr>
            <a:pattFill prst="solidDmnd">
              <a:fgClr>
                <a:srgbClr val="7030A0"/>
              </a:fgClr>
              <a:bgClr>
                <a:schemeClr val="bg2">
                  <a:lumMod val="75000"/>
                </a:schemeClr>
              </a:bgClr>
            </a:pattFill>
          </c:spPr>
          <c:invertIfNegative val="0"/>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Лист1!$B$5:$L$5</c:f>
              <c:numCache>
                <c:formatCode>0.00;[Red]0.00</c:formatCode>
                <c:ptCount val="11"/>
                <c:pt idx="0">
                  <c:v>0.88</c:v>
                </c:pt>
                <c:pt idx="1">
                  <c:v>0.38</c:v>
                </c:pt>
                <c:pt idx="2">
                  <c:v>0</c:v>
                </c:pt>
                <c:pt idx="3">
                  <c:v>0.08</c:v>
                </c:pt>
                <c:pt idx="4">
                  <c:v>0.27</c:v>
                </c:pt>
                <c:pt idx="5">
                  <c:v>0.4</c:v>
                </c:pt>
                <c:pt idx="6">
                  <c:v>0.36</c:v>
                </c:pt>
                <c:pt idx="7">
                  <c:v>0.36</c:v>
                </c:pt>
                <c:pt idx="8">
                  <c:v>0.24</c:v>
                </c:pt>
                <c:pt idx="9">
                  <c:v>0.82</c:v>
                </c:pt>
                <c:pt idx="10">
                  <c:v>0.38</c:v>
                </c:pt>
              </c:numCache>
            </c:numRef>
          </c:val>
        </c:ser>
        <c:ser>
          <c:idx val="4"/>
          <c:order val="4"/>
          <c:tx>
            <c:strRef>
              <c:f>Лист1!$A$6</c:f>
              <c:strCache>
                <c:ptCount val="1"/>
                <c:pt idx="0">
                  <c:v>муниципальных учреждений культуры и искусства</c:v>
                </c:pt>
              </c:strCache>
            </c:strRef>
          </c:tx>
          <c:spPr>
            <a:pattFill prst="solidDmnd">
              <a:fgClr>
                <a:schemeClr val="accent1"/>
              </a:fgClr>
              <a:bgClr>
                <a:schemeClr val="bg1"/>
              </a:bgClr>
            </a:pattFill>
          </c:spPr>
          <c:invertIfNegative val="0"/>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Лист1!$B$6:$L$6</c:f>
              <c:numCache>
                <c:formatCode>0.00;[Red]0.00</c:formatCode>
                <c:ptCount val="11"/>
                <c:pt idx="0">
                  <c:v>0.86</c:v>
                </c:pt>
                <c:pt idx="1">
                  <c:v>0.62</c:v>
                </c:pt>
                <c:pt idx="2">
                  <c:v>0.52</c:v>
                </c:pt>
                <c:pt idx="3">
                  <c:v>0.05</c:v>
                </c:pt>
                <c:pt idx="4">
                  <c:v>0.74</c:v>
                </c:pt>
                <c:pt idx="5">
                  <c:v>0.57999999999999996</c:v>
                </c:pt>
                <c:pt idx="6">
                  <c:v>0.18</c:v>
                </c:pt>
                <c:pt idx="7">
                  <c:v>0.97</c:v>
                </c:pt>
                <c:pt idx="8">
                  <c:v>0.66</c:v>
                </c:pt>
                <c:pt idx="9">
                  <c:v>0.76</c:v>
                </c:pt>
                <c:pt idx="10">
                  <c:v>0.65</c:v>
                </c:pt>
              </c:numCache>
            </c:numRef>
          </c:val>
        </c:ser>
        <c:ser>
          <c:idx val="5"/>
          <c:order val="5"/>
          <c:tx>
            <c:strRef>
              <c:f>Лист1!$A$7</c:f>
              <c:strCache>
                <c:ptCount val="1"/>
                <c:pt idx="0">
                  <c:v>муниципальных учреждений физической культуры и спорта</c:v>
                </c:pt>
              </c:strCache>
            </c:strRef>
          </c:tx>
          <c:invertIfNegative val="0"/>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Лист1!$B$7:$L$7</c:f>
              <c:numCache>
                <c:formatCode>0.00;[Red]0.00</c:formatCode>
                <c:ptCount val="11"/>
                <c:pt idx="0">
                  <c:v>0</c:v>
                </c:pt>
                <c:pt idx="1">
                  <c:v>0.78</c:v>
                </c:pt>
                <c:pt idx="2">
                  <c:v>0.84</c:v>
                </c:pt>
                <c:pt idx="3">
                  <c:v>0.86</c:v>
                </c:pt>
                <c:pt idx="4">
                  <c:v>0</c:v>
                </c:pt>
                <c:pt idx="5">
                  <c:v>1</c:v>
                </c:pt>
                <c:pt idx="6">
                  <c:v>0.81</c:v>
                </c:pt>
                <c:pt idx="7">
                  <c:v>0.82</c:v>
                </c:pt>
                <c:pt idx="8">
                  <c:v>0</c:v>
                </c:pt>
                <c:pt idx="9">
                  <c:v>0.76</c:v>
                </c:pt>
                <c:pt idx="10">
                  <c:v>0</c:v>
                </c:pt>
              </c:numCache>
            </c:numRef>
          </c:val>
        </c:ser>
        <c:dLbls>
          <c:showLegendKey val="0"/>
          <c:showVal val="0"/>
          <c:showCatName val="0"/>
          <c:showSerName val="0"/>
          <c:showPercent val="0"/>
          <c:showBubbleSize val="0"/>
        </c:dLbls>
        <c:gapWidth val="52"/>
        <c:gapDepth val="0"/>
        <c:shape val="cylinder"/>
        <c:axId val="182454912"/>
        <c:axId val="182456704"/>
        <c:axId val="0"/>
      </c:bar3DChart>
      <c:catAx>
        <c:axId val="182454912"/>
        <c:scaling>
          <c:orientation val="minMax"/>
        </c:scaling>
        <c:delete val="0"/>
        <c:axPos val="b"/>
        <c:majorGridlines>
          <c:spPr>
            <a:ln w="12700">
              <a:solidFill>
                <a:schemeClr val="tx2"/>
              </a:solidFill>
            </a:ln>
          </c:spPr>
        </c:majorGridlines>
        <c:numFmt formatCode="#,##0.00" sourceLinked="0"/>
        <c:majorTickMark val="in"/>
        <c:minorTickMark val="none"/>
        <c:tickLblPos val="none"/>
        <c:spPr>
          <a:ln w="19050" cap="sq" cmpd="sng">
            <a:solidFill>
              <a:schemeClr val="tx1"/>
            </a:solidFill>
            <a:round/>
            <a:headEnd type="oval" w="med" len="sm"/>
            <a:tailEnd type="oval"/>
          </a:ln>
        </c:spPr>
        <c:txPr>
          <a:bodyPr rot="-5400000" vert="horz" anchor="b" anchorCtr="1"/>
          <a:lstStyle/>
          <a:p>
            <a:pPr>
              <a:defRPr sz="1400" b="0" i="0" u="none" baseline="0"/>
            </a:pPr>
            <a:endParaRPr lang="ru-RU"/>
          </a:p>
        </c:txPr>
        <c:crossAx val="182456704"/>
        <c:crossesAt val="0"/>
        <c:auto val="1"/>
        <c:lblAlgn val="ctr"/>
        <c:lblOffset val="100"/>
        <c:tickLblSkip val="1"/>
        <c:noMultiLvlLbl val="0"/>
      </c:catAx>
      <c:valAx>
        <c:axId val="182456704"/>
        <c:scaling>
          <c:orientation val="minMax"/>
        </c:scaling>
        <c:delete val="1"/>
        <c:axPos val="l"/>
        <c:majorGridlines>
          <c:spPr>
            <a:ln w="25400">
              <a:noFill/>
            </a:ln>
          </c:spPr>
        </c:majorGridlines>
        <c:numFmt formatCode="General" sourceLinked="0"/>
        <c:majorTickMark val="out"/>
        <c:minorTickMark val="none"/>
        <c:tickLblPos val="nextTo"/>
        <c:crossAx val="182454912"/>
        <c:crossesAt val="1"/>
        <c:crossBetween val="between"/>
      </c:valAx>
      <c:dTable>
        <c:showHorzBorder val="1"/>
        <c:showVertBorder val="1"/>
        <c:showOutline val="1"/>
        <c:showKeys val="1"/>
        <c:spPr>
          <a:noFill/>
        </c:spPr>
        <c:txPr>
          <a:bodyPr/>
          <a:lstStyle/>
          <a:p>
            <a:pPr rtl="0">
              <a:defRPr sz="1000" baseline="0"/>
            </a:pPr>
            <a:endParaRPr lang="ru-RU"/>
          </a:p>
        </c:txPr>
      </c:dTable>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nchor="ctr" anchorCtr="0"/>
          <a:lstStyle/>
          <a:p>
            <a:pPr>
              <a:defRPr sz="1050" baseline="0"/>
            </a:pPr>
            <a:r>
              <a:rPr lang="ru-RU" sz="1050" baseline="0"/>
              <a:t>Сводные индексы показателя </a:t>
            </a:r>
          </a:p>
          <a:p>
            <a:pPr>
              <a:defRPr sz="1050" baseline="0"/>
            </a:pPr>
            <a:r>
              <a:rPr lang="ru-RU" sz="1050" baseline="0"/>
              <a:t>"Среднемесячная </a:t>
            </a:r>
          </a:p>
          <a:p>
            <a:pPr>
              <a:defRPr sz="1050" baseline="0"/>
            </a:pPr>
            <a:r>
              <a:rPr lang="ru-RU" sz="1050" baseline="0"/>
              <a:t>номинальная </a:t>
            </a:r>
          </a:p>
          <a:p>
            <a:pPr>
              <a:defRPr sz="1050" baseline="0"/>
            </a:pPr>
            <a:r>
              <a:rPr lang="ru-RU" sz="1050" baseline="0"/>
              <a:t>начисленная заработная </a:t>
            </a:r>
          </a:p>
          <a:p>
            <a:pPr>
              <a:defRPr sz="1050" baseline="0"/>
            </a:pPr>
            <a:r>
              <a:rPr lang="ru-RU" sz="1050" baseline="0"/>
              <a:t>плата работников":</a:t>
            </a:r>
          </a:p>
        </c:rich>
      </c:tx>
      <c:layout>
        <c:manualLayout>
          <c:xMode val="edge"/>
          <c:yMode val="edge"/>
          <c:x val="6.7935426340938146E-2"/>
          <c:y val="5.8201723802367232E-2"/>
        </c:manualLayout>
      </c:layout>
      <c:overlay val="0"/>
      <c:spPr>
        <a:ln w="25400">
          <a:noFill/>
        </a:ln>
      </c:spPr>
    </c:title>
    <c:autoTitleDeleted val="0"/>
    <c:view3D>
      <c:rotX val="50"/>
      <c:rotY val="0"/>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0.19818757798717784"/>
          <c:y val="2.4330873389780253E-2"/>
          <c:w val="0.77807334021771868"/>
          <c:h val="0.73392317069152968"/>
        </c:manualLayout>
      </c:layout>
      <c:bar3DChart>
        <c:barDir val="col"/>
        <c:grouping val="clustered"/>
        <c:varyColors val="0"/>
        <c:ser>
          <c:idx val="0"/>
          <c:order val="0"/>
          <c:tx>
            <c:strRef>
              <c:f>Лист1!$A$2</c:f>
              <c:strCache>
                <c:ptCount val="1"/>
                <c:pt idx="0">
                  <c:v>крупных и средних предприятий и некоммерческих организаций</c:v>
                </c:pt>
              </c:strCache>
            </c:strRef>
          </c:tx>
          <c:spPr>
            <a:pattFill prst="solidDmnd">
              <a:fgClr>
                <a:schemeClr val="accent2">
                  <a:lumMod val="75000"/>
                </a:schemeClr>
              </a:fgClr>
              <a:bgClr>
                <a:schemeClr val="bg2">
                  <a:lumMod val="50000"/>
                </a:schemeClr>
              </a:bgClr>
            </a:pattFill>
          </c:spPr>
          <c:invertIfNegative val="0"/>
          <c:cat>
            <c:strRef>
              <c:f>Лист1!$B$1:$D$1</c:f>
              <c:strCache>
                <c:ptCount val="3"/>
                <c:pt idx="0">
                  <c:v>Петропавловск-Камчатский</c:v>
                </c:pt>
                <c:pt idx="1">
                  <c:v>Вилючинский</c:v>
                </c:pt>
                <c:pt idx="2">
                  <c:v>п. Палана</c:v>
                </c:pt>
              </c:strCache>
            </c:strRef>
          </c:cat>
          <c:val>
            <c:numRef>
              <c:f>Лист1!$B$2:$D$2</c:f>
              <c:numCache>
                <c:formatCode>0.00;[Red]0.00</c:formatCode>
                <c:ptCount val="3"/>
                <c:pt idx="0">
                  <c:v>0.65</c:v>
                </c:pt>
                <c:pt idx="1">
                  <c:v>0.6</c:v>
                </c:pt>
                <c:pt idx="2">
                  <c:v>0.31</c:v>
                </c:pt>
              </c:numCache>
            </c:numRef>
          </c:val>
        </c:ser>
        <c:ser>
          <c:idx val="1"/>
          <c:order val="1"/>
          <c:tx>
            <c:strRef>
              <c:f>Лист1!$A$3</c:f>
              <c:strCache>
                <c:ptCount val="1"/>
                <c:pt idx="0">
                  <c:v>муниципальных дошкольных образовательных учреждений</c:v>
                </c:pt>
              </c:strCache>
            </c:strRef>
          </c:tx>
          <c:spPr>
            <a:pattFill prst="solidDmnd">
              <a:fgClr>
                <a:srgbClr val="FF0000"/>
              </a:fgClr>
              <a:bgClr>
                <a:schemeClr val="tx2">
                  <a:lumMod val="40000"/>
                  <a:lumOff val="60000"/>
                </a:schemeClr>
              </a:bgClr>
            </a:pattFill>
          </c:spPr>
          <c:invertIfNegative val="0"/>
          <c:cat>
            <c:strRef>
              <c:f>Лист1!$B$1:$D$1</c:f>
              <c:strCache>
                <c:ptCount val="3"/>
                <c:pt idx="0">
                  <c:v>Петропавловск-Камчатский</c:v>
                </c:pt>
                <c:pt idx="1">
                  <c:v>Вилючинский</c:v>
                </c:pt>
                <c:pt idx="2">
                  <c:v>п. Палана</c:v>
                </c:pt>
              </c:strCache>
            </c:strRef>
          </c:cat>
          <c:val>
            <c:numRef>
              <c:f>Лист1!$B$3:$D$3</c:f>
              <c:numCache>
                <c:formatCode>0.00;[Red]0.00</c:formatCode>
                <c:ptCount val="3"/>
                <c:pt idx="0">
                  <c:v>0.6</c:v>
                </c:pt>
                <c:pt idx="1">
                  <c:v>0.61</c:v>
                </c:pt>
                <c:pt idx="2">
                  <c:v>0.4</c:v>
                </c:pt>
              </c:numCache>
            </c:numRef>
          </c:val>
        </c:ser>
        <c:ser>
          <c:idx val="2"/>
          <c:order val="2"/>
          <c:tx>
            <c:strRef>
              <c:f>Лист1!$A$4</c:f>
              <c:strCache>
                <c:ptCount val="1"/>
                <c:pt idx="0">
                  <c:v>муниципальных общеобразовательных учреждений</c:v>
                </c:pt>
              </c:strCache>
            </c:strRef>
          </c:tx>
          <c:spPr>
            <a:pattFill prst="solidDmnd">
              <a:fgClr>
                <a:srgbClr val="00B050"/>
              </a:fgClr>
              <a:bgClr>
                <a:schemeClr val="accent6">
                  <a:lumMod val="60000"/>
                  <a:lumOff val="40000"/>
                </a:schemeClr>
              </a:bgClr>
            </a:pattFill>
          </c:spPr>
          <c:invertIfNegative val="0"/>
          <c:cat>
            <c:strRef>
              <c:f>Лист1!$B$1:$D$1</c:f>
              <c:strCache>
                <c:ptCount val="3"/>
                <c:pt idx="0">
                  <c:v>Петропавловск-Камчатский</c:v>
                </c:pt>
                <c:pt idx="1">
                  <c:v>Вилючинский</c:v>
                </c:pt>
                <c:pt idx="2">
                  <c:v>п. Палана</c:v>
                </c:pt>
              </c:strCache>
            </c:strRef>
          </c:cat>
          <c:val>
            <c:numRef>
              <c:f>Лист1!$B$4:$D$4</c:f>
              <c:numCache>
                <c:formatCode>0.00;[Red]0.00</c:formatCode>
                <c:ptCount val="3"/>
                <c:pt idx="0">
                  <c:v>0</c:v>
                </c:pt>
                <c:pt idx="1">
                  <c:v>0.56000000000000005</c:v>
                </c:pt>
                <c:pt idx="2">
                  <c:v>1</c:v>
                </c:pt>
              </c:numCache>
            </c:numRef>
          </c:val>
        </c:ser>
        <c:ser>
          <c:idx val="3"/>
          <c:order val="3"/>
          <c:tx>
            <c:strRef>
              <c:f>Лист1!$A$5</c:f>
              <c:strCache>
                <c:ptCount val="1"/>
                <c:pt idx="0">
                  <c:v>учителей муниципальных общеобразовательных учреждений</c:v>
                </c:pt>
              </c:strCache>
            </c:strRef>
          </c:tx>
          <c:spPr>
            <a:pattFill prst="solidDmnd">
              <a:fgClr>
                <a:srgbClr val="7030A0"/>
              </a:fgClr>
              <a:bgClr>
                <a:schemeClr val="bg2">
                  <a:lumMod val="75000"/>
                </a:schemeClr>
              </a:bgClr>
            </a:pattFill>
          </c:spPr>
          <c:invertIfNegative val="0"/>
          <c:cat>
            <c:strRef>
              <c:f>Лист1!$B$1:$D$1</c:f>
              <c:strCache>
                <c:ptCount val="3"/>
                <c:pt idx="0">
                  <c:v>Петропавловск-Камчатский</c:v>
                </c:pt>
                <c:pt idx="1">
                  <c:v>Вилючинский</c:v>
                </c:pt>
                <c:pt idx="2">
                  <c:v>п. Палана</c:v>
                </c:pt>
              </c:strCache>
            </c:strRef>
          </c:cat>
          <c:val>
            <c:numRef>
              <c:f>Лист1!$B$5:$D$5</c:f>
              <c:numCache>
                <c:formatCode>0.00;[Red]0.00</c:formatCode>
                <c:ptCount val="3"/>
                <c:pt idx="0">
                  <c:v>0.04</c:v>
                </c:pt>
                <c:pt idx="1">
                  <c:v>0.05</c:v>
                </c:pt>
                <c:pt idx="2">
                  <c:v>1</c:v>
                </c:pt>
              </c:numCache>
            </c:numRef>
          </c:val>
        </c:ser>
        <c:ser>
          <c:idx val="4"/>
          <c:order val="4"/>
          <c:tx>
            <c:strRef>
              <c:f>Лист1!$A$6</c:f>
              <c:strCache>
                <c:ptCount val="1"/>
                <c:pt idx="0">
                  <c:v>муниципальных учреждений культуры и искусства</c:v>
                </c:pt>
              </c:strCache>
            </c:strRef>
          </c:tx>
          <c:spPr>
            <a:pattFill prst="solidDmnd">
              <a:fgClr>
                <a:schemeClr val="accent1"/>
              </a:fgClr>
              <a:bgClr>
                <a:schemeClr val="bg1"/>
              </a:bgClr>
            </a:pattFill>
          </c:spPr>
          <c:invertIfNegative val="0"/>
          <c:cat>
            <c:strRef>
              <c:f>Лист1!$B$1:$D$1</c:f>
              <c:strCache>
                <c:ptCount val="3"/>
                <c:pt idx="0">
                  <c:v>Петропавловск-Камчатский</c:v>
                </c:pt>
                <c:pt idx="1">
                  <c:v>Вилючинский</c:v>
                </c:pt>
                <c:pt idx="2">
                  <c:v>п. Палана</c:v>
                </c:pt>
              </c:strCache>
            </c:strRef>
          </c:cat>
          <c:val>
            <c:numRef>
              <c:f>Лист1!$B$6:$D$6</c:f>
              <c:numCache>
                <c:formatCode>0.00;[Red]0.00</c:formatCode>
                <c:ptCount val="3"/>
                <c:pt idx="0">
                  <c:v>0.53</c:v>
                </c:pt>
                <c:pt idx="1">
                  <c:v>0.6</c:v>
                </c:pt>
                <c:pt idx="2">
                  <c:v>0.4</c:v>
                </c:pt>
              </c:numCache>
            </c:numRef>
          </c:val>
        </c:ser>
        <c:ser>
          <c:idx val="5"/>
          <c:order val="5"/>
          <c:tx>
            <c:strRef>
              <c:f>Лист1!$A$7</c:f>
              <c:strCache>
                <c:ptCount val="1"/>
                <c:pt idx="0">
                  <c:v>муниципальных учреждений физической культуры и спорта</c:v>
                </c:pt>
              </c:strCache>
            </c:strRef>
          </c:tx>
          <c:spPr>
            <a:pattFill prst="solidDmnd">
              <a:fgClr>
                <a:schemeClr val="accent6">
                  <a:lumMod val="50000"/>
                </a:schemeClr>
              </a:fgClr>
              <a:bgClr>
                <a:schemeClr val="bg1"/>
              </a:bgClr>
            </a:pattFill>
          </c:spPr>
          <c:invertIfNegative val="0"/>
          <c:cat>
            <c:strRef>
              <c:f>Лист1!$B$1:$D$1</c:f>
              <c:strCache>
                <c:ptCount val="3"/>
                <c:pt idx="0">
                  <c:v>Петропавловск-Камчатский</c:v>
                </c:pt>
                <c:pt idx="1">
                  <c:v>Вилючинский</c:v>
                </c:pt>
                <c:pt idx="2">
                  <c:v>п. Палана</c:v>
                </c:pt>
              </c:strCache>
            </c:strRef>
          </c:cat>
          <c:val>
            <c:numRef>
              <c:f>Лист1!$B$7:$D$7</c:f>
              <c:numCache>
                <c:formatCode>0.00;[Red]0.00</c:formatCode>
                <c:ptCount val="3"/>
                <c:pt idx="0">
                  <c:v>1</c:v>
                </c:pt>
                <c:pt idx="1">
                  <c:v>0.76</c:v>
                </c:pt>
                <c:pt idx="2">
                  <c:v>0</c:v>
                </c:pt>
              </c:numCache>
            </c:numRef>
          </c:val>
        </c:ser>
        <c:dLbls>
          <c:showLegendKey val="0"/>
          <c:showVal val="0"/>
          <c:showCatName val="0"/>
          <c:showSerName val="0"/>
          <c:showPercent val="0"/>
          <c:showBubbleSize val="0"/>
        </c:dLbls>
        <c:gapWidth val="52"/>
        <c:gapDepth val="0"/>
        <c:shape val="cylinder"/>
        <c:axId val="182487296"/>
        <c:axId val="182497280"/>
        <c:axId val="0"/>
      </c:bar3DChart>
      <c:catAx>
        <c:axId val="182487296"/>
        <c:scaling>
          <c:orientation val="minMax"/>
        </c:scaling>
        <c:delete val="0"/>
        <c:axPos val="b"/>
        <c:majorGridlines>
          <c:spPr>
            <a:ln w="12700">
              <a:solidFill>
                <a:schemeClr val="tx2"/>
              </a:solidFill>
            </a:ln>
          </c:spPr>
        </c:majorGridlines>
        <c:numFmt formatCode="#,##0.00" sourceLinked="0"/>
        <c:majorTickMark val="in"/>
        <c:minorTickMark val="none"/>
        <c:tickLblPos val="none"/>
        <c:spPr>
          <a:ln w="19050" cap="sq" cmpd="sng">
            <a:solidFill>
              <a:schemeClr val="tx1"/>
            </a:solidFill>
            <a:round/>
            <a:headEnd type="oval" w="med" len="sm"/>
            <a:tailEnd type="oval"/>
          </a:ln>
        </c:spPr>
        <c:txPr>
          <a:bodyPr rot="-5400000" vert="horz" anchor="b" anchorCtr="1"/>
          <a:lstStyle/>
          <a:p>
            <a:pPr>
              <a:defRPr sz="1400" b="0" i="0" u="none" baseline="0"/>
            </a:pPr>
            <a:endParaRPr lang="ru-RU"/>
          </a:p>
        </c:txPr>
        <c:crossAx val="182497280"/>
        <c:crossesAt val="0"/>
        <c:auto val="1"/>
        <c:lblAlgn val="ctr"/>
        <c:lblOffset val="100"/>
        <c:tickLblSkip val="1"/>
        <c:noMultiLvlLbl val="0"/>
      </c:catAx>
      <c:valAx>
        <c:axId val="182497280"/>
        <c:scaling>
          <c:orientation val="minMax"/>
        </c:scaling>
        <c:delete val="1"/>
        <c:axPos val="l"/>
        <c:majorGridlines>
          <c:spPr>
            <a:ln w="25400">
              <a:noFill/>
            </a:ln>
          </c:spPr>
        </c:majorGridlines>
        <c:numFmt formatCode="General" sourceLinked="0"/>
        <c:majorTickMark val="out"/>
        <c:minorTickMark val="none"/>
        <c:tickLblPos val="nextTo"/>
        <c:crossAx val="182487296"/>
        <c:crossesAt val="1"/>
        <c:crossBetween val="between"/>
      </c:valAx>
      <c:dTable>
        <c:showHorzBorder val="1"/>
        <c:showVertBorder val="1"/>
        <c:showOutline val="1"/>
        <c:showKeys val="1"/>
        <c:spPr>
          <a:noFill/>
        </c:spPr>
        <c:txPr>
          <a:bodyPr/>
          <a:lstStyle/>
          <a:p>
            <a:pPr rtl="0">
              <a:defRPr sz="1000" baseline="0"/>
            </a:pPr>
            <a:endParaRPr lang="ru-RU"/>
          </a:p>
        </c:txPr>
      </c:dTable>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50"/>
      <c:rotY val="0"/>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0.19818757798717784"/>
          <c:y val="2.4330873389780253E-2"/>
          <c:w val="0.77807334021771868"/>
          <c:h val="0.62932066023127875"/>
        </c:manualLayout>
      </c:layout>
      <c:bar3DChart>
        <c:barDir val="bar"/>
        <c:grouping val="clustered"/>
        <c:varyColors val="0"/>
        <c:ser>
          <c:idx val="0"/>
          <c:order val="0"/>
          <c:tx>
            <c:strRef>
              <c:f>Лист1!$A$2</c:f>
              <c:strCache>
                <c:ptCount val="1"/>
                <c:pt idx="0">
                  <c:v>Доля детей в возрасте 1 - 6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c:v>
                </c:pt>
              </c:strCache>
            </c:strRef>
          </c:tx>
          <c:spPr>
            <a:solidFill>
              <a:schemeClr val="tx2">
                <a:lumMod val="60000"/>
                <a:lumOff val="40000"/>
              </a:schemeClr>
            </a:solidFill>
            <a:scene3d>
              <a:camera prst="orthographicFront"/>
              <a:lightRig rig="threePt" dir="t"/>
            </a:scene3d>
            <a:sp3d prstMaterial="dkEdge"/>
          </c:spPr>
          <c:invertIfNegative val="0"/>
          <c:dLbls>
            <c:dLbl>
              <c:idx val="0"/>
              <c:layout>
                <c:manualLayout>
                  <c:x val="-2.3224043715846895E-2"/>
                  <c:y val="1.2552301255230125E-2"/>
                </c:manualLayout>
              </c:layout>
              <c:showLegendKey val="0"/>
              <c:showVal val="1"/>
              <c:showCatName val="0"/>
              <c:showSerName val="0"/>
              <c:showPercent val="0"/>
              <c:showBubbleSize val="0"/>
            </c:dLbl>
            <c:dLbl>
              <c:idx val="1"/>
              <c:layout>
                <c:manualLayout>
                  <c:x val="-1.5027322404371584E-2"/>
                  <c:y val="6.2761506276150627E-3"/>
                </c:manualLayout>
              </c:layout>
              <c:showLegendKey val="0"/>
              <c:showVal val="1"/>
              <c:showCatName val="0"/>
              <c:showSerName val="0"/>
              <c:showPercent val="0"/>
              <c:showBubbleSize val="0"/>
            </c:dLbl>
            <c:dLbl>
              <c:idx val="2"/>
              <c:layout>
                <c:manualLayout>
                  <c:x val="-2.3224043715846996E-2"/>
                  <c:y val="4.1841004184100614E-3"/>
                </c:manualLayout>
              </c:layout>
              <c:showLegendKey val="0"/>
              <c:showVal val="1"/>
              <c:showCatName val="0"/>
              <c:showSerName val="0"/>
              <c:showPercent val="0"/>
              <c:showBubbleSize val="0"/>
            </c:dLbl>
            <c:dLbl>
              <c:idx val="3"/>
              <c:layout>
                <c:manualLayout>
                  <c:x val="0"/>
                  <c:y val="1.638001638001638E-2"/>
                </c:manualLayout>
              </c:layout>
              <c:showLegendKey val="0"/>
              <c:showVal val="1"/>
              <c:showCatName val="0"/>
              <c:showSerName val="0"/>
              <c:showPercent val="0"/>
              <c:showBubbleSize val="0"/>
            </c:dLbl>
            <c:dLbl>
              <c:idx val="4"/>
              <c:layout>
                <c:manualLayout>
                  <c:x val="-1.2084931691230904E-2"/>
                  <c:y val="4.1847717438268615E-3"/>
                </c:manualLayout>
              </c:layout>
              <c:showLegendKey val="0"/>
              <c:showVal val="1"/>
              <c:showCatName val="0"/>
              <c:showSerName val="0"/>
              <c:showPercent val="0"/>
              <c:showBubbleSize val="0"/>
            </c:dLbl>
            <c:dLbl>
              <c:idx val="5"/>
              <c:layout>
                <c:manualLayout>
                  <c:x val="-5.0090854027861906E-3"/>
                  <c:y val="7.4602591138024209E-3"/>
                </c:manualLayout>
              </c:layout>
              <c:showLegendKey val="0"/>
              <c:showVal val="1"/>
              <c:showCatName val="0"/>
              <c:showSerName val="0"/>
              <c:showPercent val="0"/>
              <c:showBubbleSize val="0"/>
            </c:dLbl>
            <c:dLbl>
              <c:idx val="6"/>
              <c:layout>
                <c:manualLayout>
                  <c:x val="-2.3224151284368041E-2"/>
                  <c:y val="6.2763153559779921E-3"/>
                </c:manualLayout>
              </c:layout>
              <c:showLegendKey val="0"/>
              <c:showVal val="1"/>
              <c:showCatName val="0"/>
              <c:showSerName val="0"/>
              <c:showPercent val="0"/>
              <c:showBubbleSize val="0"/>
            </c:dLbl>
            <c:dLbl>
              <c:idx val="7"/>
              <c:layout>
                <c:manualLayout>
                  <c:x val="-2.3224043715846996E-2"/>
                  <c:y val="6.2763153559779921E-3"/>
                </c:manualLayout>
              </c:layout>
              <c:showLegendKey val="0"/>
              <c:showVal val="1"/>
              <c:showCatName val="0"/>
              <c:showSerName val="0"/>
              <c:showPercent val="0"/>
              <c:showBubbleSize val="0"/>
            </c:dLbl>
            <c:dLbl>
              <c:idx val="8"/>
              <c:layout>
                <c:manualLayout>
                  <c:x val="-1.092896174863388E-2"/>
                  <c:y val="6.2763153559779921E-3"/>
                </c:manualLayout>
              </c:layout>
              <c:showLegendKey val="0"/>
              <c:showVal val="1"/>
              <c:showCatName val="0"/>
              <c:showSerName val="0"/>
              <c:showPercent val="0"/>
              <c:showBubbleSize val="0"/>
            </c:dLbl>
            <c:dLbl>
              <c:idx val="9"/>
              <c:layout>
                <c:manualLayout>
                  <c:x val="6.0249680328420489E-3"/>
                  <c:y val="5.3682601714097776E-3"/>
                </c:manualLayout>
              </c:layout>
              <c:showLegendKey val="0"/>
              <c:showVal val="1"/>
              <c:showCatName val="0"/>
              <c:showSerName val="0"/>
              <c:showPercent val="0"/>
              <c:showBubbleSize val="0"/>
            </c:dLbl>
            <c:dLbl>
              <c:idx val="10"/>
              <c:layout>
                <c:manualLayout>
                  <c:x val="-2.136752136752137E-3"/>
                  <c:y val="1.9656019656019656E-2"/>
                </c:manualLayout>
              </c:layout>
              <c:showLegendKey val="0"/>
              <c:showVal val="1"/>
              <c:showCatName val="0"/>
              <c:showSerName val="0"/>
              <c:showPercent val="0"/>
              <c:showBubbleSize val="0"/>
            </c:dLbl>
            <c:txPr>
              <a:bodyPr anchor="b" anchorCtr="1"/>
              <a:lstStyle/>
              <a:p>
                <a:pPr>
                  <a:defRPr sz="10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Лист1!$B$2:$L$2</c:f>
              <c:numCache>
                <c:formatCode>0.00;[Red]0.00</c:formatCode>
                <c:ptCount val="11"/>
                <c:pt idx="0">
                  <c:v>0.51</c:v>
                </c:pt>
                <c:pt idx="1">
                  <c:v>0.56999999999999995</c:v>
                </c:pt>
                <c:pt idx="2">
                  <c:v>0.11</c:v>
                </c:pt>
                <c:pt idx="3">
                  <c:v>0.13</c:v>
                </c:pt>
                <c:pt idx="4">
                  <c:v>0.26</c:v>
                </c:pt>
                <c:pt idx="5">
                  <c:v>0.41</c:v>
                </c:pt>
                <c:pt idx="6">
                  <c:v>0.53</c:v>
                </c:pt>
                <c:pt idx="7">
                  <c:v>0.11</c:v>
                </c:pt>
                <c:pt idx="8">
                  <c:v>0.22</c:v>
                </c:pt>
                <c:pt idx="9">
                  <c:v>0.52</c:v>
                </c:pt>
                <c:pt idx="10">
                  <c:v>0.67</c:v>
                </c:pt>
              </c:numCache>
            </c:numRef>
          </c:val>
          <c:shape val="cylinder"/>
        </c:ser>
        <c:ser>
          <c:idx val="1"/>
          <c:order val="1"/>
          <c:tx>
            <c:strRef>
              <c:f>Лист1!$A$3</c:f>
              <c:strCache>
                <c:ptCount val="1"/>
                <c:pt idx="0">
                  <c:v>Доля детей в возрасте 1 - 6 лет, стоящих на учете для определения в муниципальные дошкольные образовательные учреждения, в общей численности детей в возрасте 1 - 6 лет</c:v>
                </c:pt>
              </c:strCache>
            </c:strRef>
          </c:tx>
          <c:invertIfNegative val="0"/>
          <c:dLbls>
            <c:dLbl>
              <c:idx val="0"/>
              <c:layout>
                <c:manualLayout>
                  <c:x val="-3.9617486338797817E-2"/>
                  <c:y val="4.1841004184100415E-3"/>
                </c:manualLayout>
              </c:layout>
              <c:showLegendKey val="0"/>
              <c:showVal val="1"/>
              <c:showCatName val="0"/>
              <c:showSerName val="0"/>
              <c:showPercent val="0"/>
              <c:showBubbleSize val="0"/>
            </c:dLbl>
            <c:dLbl>
              <c:idx val="1"/>
              <c:layout>
                <c:manualLayout>
                  <c:x val="-9.7028736792517112E-3"/>
                  <c:y val="-3.5514970948041812E-3"/>
                </c:manualLayout>
              </c:layout>
              <c:showLegendKey val="0"/>
              <c:showVal val="1"/>
              <c:showCatName val="0"/>
              <c:showSerName val="0"/>
              <c:showPercent val="0"/>
              <c:showBubbleSize val="0"/>
            </c:dLbl>
            <c:dLbl>
              <c:idx val="2"/>
              <c:layout>
                <c:manualLayout>
                  <c:x val="-2.136752136752137E-3"/>
                  <c:y val="1.9656019656019656E-2"/>
                </c:manualLayout>
              </c:layout>
              <c:showLegendKey val="0"/>
              <c:showVal val="1"/>
              <c:showCatName val="0"/>
              <c:showSerName val="0"/>
              <c:showPercent val="0"/>
              <c:showBubbleSize val="0"/>
            </c:dLbl>
            <c:dLbl>
              <c:idx val="3"/>
              <c:layout>
                <c:manualLayout>
                  <c:x val="-1.912568306010929E-2"/>
                  <c:y val="6.2763153559779921E-3"/>
                </c:manualLayout>
              </c:layout>
              <c:showLegendKey val="0"/>
              <c:showVal val="1"/>
              <c:showCatName val="0"/>
              <c:showSerName val="0"/>
              <c:showPercent val="0"/>
              <c:showBubbleSize val="0"/>
            </c:dLbl>
            <c:dLbl>
              <c:idx val="4"/>
              <c:layout>
                <c:manualLayout>
                  <c:x val="-3.5343899320277275E-2"/>
                  <c:y val="-4.1679532073232863E-2"/>
                </c:manualLayout>
              </c:layout>
              <c:showLegendKey val="0"/>
              <c:showVal val="1"/>
              <c:showCatName val="0"/>
              <c:showSerName val="0"/>
              <c:showPercent val="0"/>
              <c:showBubbleSize val="0"/>
            </c:dLbl>
            <c:dLbl>
              <c:idx val="5"/>
              <c:layout>
                <c:manualLayout>
                  <c:x val="-1.2785517194966014E-2"/>
                  <c:y val="1.1012272114634319E-2"/>
                </c:manualLayout>
              </c:layout>
              <c:showLegendKey val="0"/>
              <c:showVal val="1"/>
              <c:showCatName val="0"/>
              <c:showSerName val="0"/>
              <c:showPercent val="0"/>
              <c:showBubbleSize val="0"/>
            </c:dLbl>
            <c:dLbl>
              <c:idx val="6"/>
              <c:layout>
                <c:manualLayout>
                  <c:x val="-3.5730870179689076E-3"/>
                  <c:y val="1.4012265665808973E-2"/>
                </c:manualLayout>
              </c:layout>
              <c:showLegendKey val="0"/>
              <c:showVal val="1"/>
              <c:showCatName val="0"/>
              <c:showSerName val="0"/>
              <c:showPercent val="0"/>
              <c:showBubbleSize val="0"/>
            </c:dLbl>
            <c:dLbl>
              <c:idx val="7"/>
              <c:layout>
                <c:manualLayout>
                  <c:x val="-2.9774883908742175E-3"/>
                  <c:y val="8.6442634474130538E-3"/>
                </c:manualLayout>
              </c:layout>
              <c:showLegendKey val="0"/>
              <c:showVal val="1"/>
              <c:showCatName val="0"/>
              <c:showSerName val="0"/>
              <c:showPercent val="0"/>
              <c:showBubbleSize val="0"/>
            </c:dLbl>
            <c:dLbl>
              <c:idx val="8"/>
              <c:layout>
                <c:manualLayout>
                  <c:x val="-4.0983606557377046E-2"/>
                  <c:y val="-7.6707621537861041E-17"/>
                </c:manualLayout>
              </c:layout>
              <c:showLegendKey val="0"/>
              <c:showVal val="1"/>
              <c:showCatName val="0"/>
              <c:showSerName val="0"/>
              <c:showPercent val="0"/>
              <c:showBubbleSize val="0"/>
            </c:dLbl>
            <c:dLbl>
              <c:idx val="9"/>
              <c:layout>
                <c:manualLayout>
                  <c:x val="-1.7059021468470287E-2"/>
                  <c:y val="4.1842558377991447E-3"/>
                </c:manualLayout>
              </c:layout>
              <c:showLegendKey val="0"/>
              <c:showVal val="1"/>
              <c:showCatName val="0"/>
              <c:showSerName val="0"/>
              <c:showPercent val="0"/>
              <c:showBubbleSize val="0"/>
            </c:dLbl>
            <c:dLbl>
              <c:idx val="10"/>
              <c:layout>
                <c:manualLayout>
                  <c:x val="-4.3120331112457097E-2"/>
                  <c:y val="3.1300534607621222E-2"/>
                </c:manualLayout>
              </c:layout>
              <c:showLegendKey val="0"/>
              <c:showVal val="1"/>
              <c:showCatName val="0"/>
              <c:showSerName val="0"/>
              <c:showPercent val="0"/>
              <c:showBubbleSize val="0"/>
            </c:dLbl>
            <c:txPr>
              <a:bodyPr anchor="b" anchorCtr="1"/>
              <a:lstStyle/>
              <a:p>
                <a:pPr>
                  <a:defRPr sz="10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Лист1!$B$3:$L$3</c:f>
              <c:numCache>
                <c:formatCode>0.00;[Red]0.00</c:formatCode>
                <c:ptCount val="11"/>
                <c:pt idx="0">
                  <c:v>1</c:v>
                </c:pt>
                <c:pt idx="1">
                  <c:v>0.47</c:v>
                </c:pt>
                <c:pt idx="2">
                  <c:v>0.33</c:v>
                </c:pt>
                <c:pt idx="3">
                  <c:v>0.64</c:v>
                </c:pt>
                <c:pt idx="4">
                  <c:v>1</c:v>
                </c:pt>
                <c:pt idx="5">
                  <c:v>0.57999999999999996</c:v>
                </c:pt>
                <c:pt idx="6">
                  <c:v>0.64</c:v>
                </c:pt>
                <c:pt idx="7">
                  <c:v>0.53</c:v>
                </c:pt>
                <c:pt idx="8">
                  <c:v>0.6</c:v>
                </c:pt>
                <c:pt idx="9">
                  <c:v>0.28000000000000003</c:v>
                </c:pt>
                <c:pt idx="10">
                  <c:v>1</c:v>
                </c:pt>
              </c:numCache>
            </c:numRef>
          </c:val>
          <c:shape val="cylinder"/>
        </c:ser>
        <c:ser>
          <c:idx val="2"/>
          <c:order val="2"/>
          <c:tx>
            <c:strRef>
              <c:f>Лист1!$A$4</c:f>
              <c:strCache>
                <c:ptCount val="1"/>
                <c:pt idx="0">
                  <c:v>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c:v>
                </c:pt>
              </c:strCache>
            </c:strRef>
          </c:tx>
          <c:invertIfNegative val="0"/>
          <c:dLbls>
            <c:dLbl>
              <c:idx val="0"/>
              <c:layout>
                <c:manualLayout>
                  <c:x val="-6.8306010928961495E-3"/>
                  <c:y val="6.2761506276150627E-3"/>
                </c:manualLayout>
              </c:layout>
              <c:showLegendKey val="0"/>
              <c:showVal val="1"/>
              <c:showCatName val="0"/>
              <c:showSerName val="0"/>
              <c:showPercent val="0"/>
              <c:showBubbleSize val="0"/>
            </c:dLbl>
            <c:dLbl>
              <c:idx val="2"/>
              <c:layout>
                <c:manualLayout>
                  <c:x val="-1.4922269331718151E-2"/>
                  <c:y val="8.3685116755982895E-3"/>
                </c:manualLayout>
              </c:layout>
              <c:showLegendKey val="0"/>
              <c:showVal val="1"/>
              <c:showCatName val="0"/>
              <c:showSerName val="0"/>
              <c:showPercent val="0"/>
              <c:showBubbleSize val="0"/>
            </c:dLbl>
            <c:dLbl>
              <c:idx val="3"/>
              <c:layout>
                <c:manualLayout>
                  <c:x val="-3.5343899320277275E-2"/>
                  <c:y val="2.7116278769822078E-2"/>
                </c:manualLayout>
              </c:layout>
              <c:showLegendKey val="0"/>
              <c:showVal val="1"/>
              <c:showCatName val="0"/>
              <c:showSerName val="0"/>
              <c:showPercent val="0"/>
              <c:showBubbleSize val="0"/>
            </c:dLbl>
            <c:dLbl>
              <c:idx val="4"/>
              <c:layout>
                <c:manualLayout>
                  <c:x val="-4.0142842721582882E-2"/>
                  <c:y val="1.8472531228436739E-2"/>
                </c:manualLayout>
              </c:layout>
              <c:showLegendKey val="0"/>
              <c:showVal val="1"/>
              <c:showCatName val="0"/>
              <c:showSerName val="0"/>
              <c:showPercent val="0"/>
              <c:showBubbleSize val="0"/>
            </c:dLbl>
            <c:dLbl>
              <c:idx val="5"/>
              <c:layout>
                <c:manualLayout>
                  <c:x val="-3.1420765027322405E-2"/>
                  <c:y val="0"/>
                </c:manualLayout>
              </c:layout>
              <c:showLegendKey val="0"/>
              <c:showVal val="1"/>
              <c:showCatName val="0"/>
              <c:showSerName val="0"/>
              <c:showPercent val="0"/>
              <c:showBubbleSize val="0"/>
            </c:dLbl>
            <c:dLbl>
              <c:idx val="6"/>
              <c:layout>
                <c:manualLayout>
                  <c:x val="-1.912568306010929E-2"/>
                  <c:y val="2.0920502092050207E-3"/>
                </c:manualLayout>
              </c:layout>
              <c:showLegendKey val="0"/>
              <c:showVal val="1"/>
              <c:showCatName val="0"/>
              <c:showSerName val="0"/>
              <c:showPercent val="0"/>
              <c:showBubbleSize val="0"/>
            </c:dLbl>
            <c:dLbl>
              <c:idx val="7"/>
              <c:layout>
                <c:manualLayout>
                  <c:x val="-1.092896174863388E-2"/>
                  <c:y val="6.2763153559779921E-3"/>
                </c:manualLayout>
              </c:layout>
              <c:showLegendKey val="0"/>
              <c:showVal val="1"/>
              <c:showCatName val="0"/>
              <c:showSerName val="0"/>
              <c:showPercent val="0"/>
              <c:showBubbleSize val="0"/>
            </c:dLbl>
            <c:dLbl>
              <c:idx val="8"/>
              <c:layout>
                <c:manualLayout>
                  <c:x val="-2.7322404371584699E-2"/>
                  <c:y val="6.2761506276149863E-3"/>
                </c:manualLayout>
              </c:layout>
              <c:showLegendKey val="0"/>
              <c:showVal val="1"/>
              <c:showCatName val="0"/>
              <c:showSerName val="0"/>
              <c:showPercent val="0"/>
              <c:showBubbleSize val="0"/>
            </c:dLbl>
            <c:dLbl>
              <c:idx val="10"/>
              <c:layout>
                <c:manualLayout>
                  <c:x val="-2.4590163934426229E-2"/>
                  <c:y val="4.1841004184100415E-3"/>
                </c:manualLayout>
              </c:layout>
              <c:showLegendKey val="0"/>
              <c:showVal val="1"/>
              <c:showCatName val="0"/>
              <c:showSerName val="0"/>
              <c:showPercent val="0"/>
              <c:showBubbleSize val="0"/>
            </c:dLbl>
            <c:txPr>
              <a:bodyPr anchor="b" anchorCtr="1"/>
              <a:lstStyle/>
              <a:p>
                <a:pPr>
                  <a:defRPr sz="1000" baseline="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Лист1!$B$4:$L$4</c:f>
              <c:numCache>
                <c:formatCode>0.00;[Red]0.00</c:formatCode>
                <c:ptCount val="11"/>
                <c:pt idx="0">
                  <c:v>0.11</c:v>
                </c:pt>
                <c:pt idx="1">
                  <c:v>0.24</c:v>
                </c:pt>
                <c:pt idx="2">
                  <c:v>0.42</c:v>
                </c:pt>
                <c:pt idx="3">
                  <c:v>1</c:v>
                </c:pt>
                <c:pt idx="4">
                  <c:v>1</c:v>
                </c:pt>
                <c:pt idx="5">
                  <c:v>0.32</c:v>
                </c:pt>
                <c:pt idx="6">
                  <c:v>0.96266666666666667</c:v>
                </c:pt>
                <c:pt idx="7">
                  <c:v>0.45</c:v>
                </c:pt>
                <c:pt idx="8">
                  <c:v>0.98</c:v>
                </c:pt>
                <c:pt idx="9">
                  <c:v>0.48</c:v>
                </c:pt>
                <c:pt idx="10">
                  <c:v>0.37</c:v>
                </c:pt>
              </c:numCache>
            </c:numRef>
          </c:val>
          <c:shape val="cylinder"/>
        </c:ser>
        <c:dLbls>
          <c:showLegendKey val="0"/>
          <c:showVal val="1"/>
          <c:showCatName val="0"/>
          <c:showSerName val="0"/>
          <c:showPercent val="0"/>
          <c:showBubbleSize val="0"/>
        </c:dLbls>
        <c:gapWidth val="100"/>
        <c:gapDepth val="0"/>
        <c:shape val="pyramid"/>
        <c:axId val="182551680"/>
        <c:axId val="182553216"/>
        <c:axId val="0"/>
      </c:bar3DChart>
      <c:catAx>
        <c:axId val="182551680"/>
        <c:scaling>
          <c:orientation val="maxMin"/>
        </c:scaling>
        <c:delete val="0"/>
        <c:axPos val="l"/>
        <c:majorGridlines>
          <c:spPr>
            <a:ln w="12700">
              <a:solidFill>
                <a:schemeClr val="tx2"/>
              </a:solidFill>
            </a:ln>
          </c:spPr>
        </c:majorGridlines>
        <c:numFmt formatCode="#,##0.00" sourceLinked="0"/>
        <c:majorTickMark val="out"/>
        <c:minorTickMark val="none"/>
        <c:tickLblPos val="nextTo"/>
        <c:spPr>
          <a:ln w="19050" cap="sq" cmpd="sng">
            <a:solidFill>
              <a:schemeClr val="tx1"/>
            </a:solidFill>
            <a:round/>
            <a:headEnd type="oval" w="med" len="sm"/>
            <a:tailEnd type="oval"/>
          </a:ln>
        </c:spPr>
        <c:txPr>
          <a:bodyPr rot="0" vert="horz" anchor="t" anchorCtr="0"/>
          <a:lstStyle/>
          <a:p>
            <a:pPr>
              <a:defRPr sz="1000" b="0" i="0" u="none" baseline="0"/>
            </a:pPr>
            <a:endParaRPr lang="ru-RU"/>
          </a:p>
        </c:txPr>
        <c:crossAx val="182553216"/>
        <c:crossesAt val="0"/>
        <c:auto val="0"/>
        <c:lblAlgn val="ctr"/>
        <c:lblOffset val="100"/>
        <c:tickLblSkip val="1"/>
        <c:noMultiLvlLbl val="0"/>
      </c:catAx>
      <c:valAx>
        <c:axId val="182553216"/>
        <c:scaling>
          <c:orientation val="minMax"/>
        </c:scaling>
        <c:delete val="1"/>
        <c:axPos val="t"/>
        <c:minorGridlines/>
        <c:numFmt formatCode="General" sourceLinked="0"/>
        <c:majorTickMark val="out"/>
        <c:minorTickMark val="none"/>
        <c:tickLblPos val="nextTo"/>
        <c:crossAx val="182551680"/>
        <c:crossesAt val="1"/>
        <c:crossBetween val="between"/>
      </c:valAx>
    </c:plotArea>
    <c:legend>
      <c:legendPos val="b"/>
      <c:layout>
        <c:manualLayout>
          <c:xMode val="edge"/>
          <c:yMode val="edge"/>
          <c:x val="8.6861461932437489E-2"/>
          <c:y val="0.66625587459290103"/>
          <c:w val="0.85787738071202635"/>
          <c:h val="0.31871186667766005"/>
        </c:manualLayout>
      </c:layout>
      <c:overlay val="0"/>
      <c:txPr>
        <a:bodyPr/>
        <a:lstStyle/>
        <a:p>
          <a:pPr>
            <a:defRPr sz="900" baseline="0"/>
          </a:pPr>
          <a:endParaRPr lang="ru-RU"/>
        </a:p>
      </c:txPr>
    </c:legend>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50"/>
      <c:rotY val="0"/>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0.19818757798717784"/>
          <c:y val="2.4330873389780253E-2"/>
          <c:w val="0.77807334021771868"/>
          <c:h val="0.62932066023127875"/>
        </c:manualLayout>
      </c:layout>
      <c:bar3DChart>
        <c:barDir val="bar"/>
        <c:grouping val="clustered"/>
        <c:varyColors val="0"/>
        <c:ser>
          <c:idx val="0"/>
          <c:order val="0"/>
          <c:tx>
            <c:strRef>
              <c:f>Лист1!$A$2</c:f>
              <c:strCache>
                <c:ptCount val="1"/>
                <c:pt idx="0">
                  <c:v>Доля детей в возрасте 1 - 6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c:v>
                </c:pt>
              </c:strCache>
            </c:strRef>
          </c:tx>
          <c:spPr>
            <a:solidFill>
              <a:schemeClr val="tx2">
                <a:lumMod val="60000"/>
                <a:lumOff val="40000"/>
              </a:schemeClr>
            </a:solidFill>
            <a:scene3d>
              <a:camera prst="orthographicFront"/>
              <a:lightRig rig="threePt" dir="t"/>
            </a:scene3d>
            <a:sp3d prstMaterial="dkEdge"/>
          </c:spPr>
          <c:invertIfNegative val="0"/>
          <c:dLbls>
            <c:dLbl>
              <c:idx val="0"/>
              <c:layout>
                <c:manualLayout>
                  <c:x val="5.8042263947775761E-3"/>
                  <c:y val="1.8824637092353626E-2"/>
                </c:manualLayout>
              </c:layout>
              <c:showLegendKey val="0"/>
              <c:showVal val="1"/>
              <c:showCatName val="0"/>
              <c:showSerName val="0"/>
              <c:showPercent val="0"/>
              <c:showBubbleSize val="0"/>
            </c:dLbl>
            <c:dLbl>
              <c:idx val="1"/>
              <c:layout>
                <c:manualLayout>
                  <c:x val="-5.458659486329921E-3"/>
                  <c:y val="2.5104973736195885E-2"/>
                </c:manualLayout>
              </c:layout>
              <c:showLegendKey val="0"/>
              <c:showVal val="1"/>
              <c:showCatName val="0"/>
              <c:showSerName val="0"/>
              <c:showPercent val="0"/>
              <c:showBubbleSize val="0"/>
            </c:dLbl>
            <c:dLbl>
              <c:idx val="2"/>
              <c:layout>
                <c:manualLayout>
                  <c:x val="-6.2702739080691839E-3"/>
                  <c:y val="1.8824379139339768E-2"/>
                </c:manualLayout>
              </c:layout>
              <c:showLegendKey val="0"/>
              <c:showVal val="1"/>
              <c:showCatName val="0"/>
              <c:showSerName val="0"/>
              <c:showPercent val="0"/>
              <c:showBubbleSize val="0"/>
            </c:dLbl>
            <c:dLbl>
              <c:idx val="4"/>
              <c:layout>
                <c:manualLayout>
                  <c:x val="-5.0546448087431695E-2"/>
                  <c:y val="4.1845946034988306E-3"/>
                </c:manualLayout>
              </c:layout>
              <c:showLegendKey val="0"/>
              <c:showVal val="1"/>
              <c:showCatName val="0"/>
              <c:showSerName val="0"/>
              <c:showPercent val="0"/>
              <c:showBubbleSize val="0"/>
            </c:dLbl>
            <c:dLbl>
              <c:idx val="5"/>
              <c:layout>
                <c:manualLayout>
                  <c:x val="-3.2786885245901641E-2"/>
                  <c:y val="4.1841004184100805E-3"/>
                </c:manualLayout>
              </c:layout>
              <c:showLegendKey val="0"/>
              <c:showVal val="1"/>
              <c:showCatName val="0"/>
              <c:showSerName val="0"/>
              <c:showPercent val="0"/>
              <c:showBubbleSize val="0"/>
            </c:dLbl>
            <c:dLbl>
              <c:idx val="6"/>
              <c:layout>
                <c:manualLayout>
                  <c:x val="-2.3224151284368041E-2"/>
                  <c:y val="6.2763153559779921E-3"/>
                </c:manualLayout>
              </c:layout>
              <c:showLegendKey val="0"/>
              <c:showVal val="1"/>
              <c:showCatName val="0"/>
              <c:showSerName val="0"/>
              <c:showPercent val="0"/>
              <c:showBubbleSize val="0"/>
            </c:dLbl>
            <c:dLbl>
              <c:idx val="7"/>
              <c:layout>
                <c:manualLayout>
                  <c:x val="-2.3224043715846996E-2"/>
                  <c:y val="6.2763153559779921E-3"/>
                </c:manualLayout>
              </c:layout>
              <c:showLegendKey val="0"/>
              <c:showVal val="1"/>
              <c:showCatName val="0"/>
              <c:showSerName val="0"/>
              <c:showPercent val="0"/>
              <c:showBubbleSize val="0"/>
            </c:dLbl>
            <c:dLbl>
              <c:idx val="8"/>
              <c:layout>
                <c:manualLayout>
                  <c:x val="-1.092896174863388E-2"/>
                  <c:y val="6.2763153559779921E-3"/>
                </c:manualLayout>
              </c:layout>
              <c:showLegendKey val="0"/>
              <c:showVal val="1"/>
              <c:showCatName val="0"/>
              <c:showSerName val="0"/>
              <c:showPercent val="0"/>
              <c:showBubbleSize val="0"/>
            </c:dLbl>
            <c:dLbl>
              <c:idx val="9"/>
              <c:layout>
                <c:manualLayout>
                  <c:x val="-4.0983606557377046E-2"/>
                  <c:y val="2.0920502092050207E-3"/>
                </c:manualLayout>
              </c:layout>
              <c:showLegendKey val="0"/>
              <c:showVal val="1"/>
              <c:showCatName val="0"/>
              <c:showSerName val="0"/>
              <c:showPercent val="0"/>
              <c:showBubbleSize val="0"/>
            </c:dLbl>
            <c:txPr>
              <a:bodyPr anchor="ctr" anchorCtr="1"/>
              <a:lstStyle/>
              <a:p>
                <a:pPr>
                  <a:defRPr sz="10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 Палана</c:v>
                </c:pt>
              </c:strCache>
            </c:strRef>
          </c:cat>
          <c:val>
            <c:numRef>
              <c:f>Лист1!$B$2:$D$2</c:f>
              <c:numCache>
                <c:formatCode>0.00;[Red]0.00</c:formatCode>
                <c:ptCount val="3"/>
                <c:pt idx="0">
                  <c:v>0.17</c:v>
                </c:pt>
                <c:pt idx="1">
                  <c:v>0.6</c:v>
                </c:pt>
                <c:pt idx="2">
                  <c:v>0.5</c:v>
                </c:pt>
              </c:numCache>
            </c:numRef>
          </c:val>
          <c:shape val="cylinder"/>
        </c:ser>
        <c:ser>
          <c:idx val="1"/>
          <c:order val="1"/>
          <c:tx>
            <c:strRef>
              <c:f>Лист1!$A$3</c:f>
              <c:strCache>
                <c:ptCount val="1"/>
                <c:pt idx="0">
                  <c:v>Доля детей в возрасте 1 - 6 лет, стоящих на учете для определения в муниципальные дошкольные образовательные учреждения, в общей численности детей в возрасте 1 - 6 лет</c:v>
                </c:pt>
              </c:strCache>
            </c:strRef>
          </c:tx>
          <c:invertIfNegative val="0"/>
          <c:dLbls>
            <c:dLbl>
              <c:idx val="0"/>
              <c:layout>
                <c:manualLayout>
                  <c:x val="-1.0889359983848173E-2"/>
                  <c:y val="1.4637027865374323E-2"/>
                </c:manualLayout>
              </c:layout>
              <c:showLegendKey val="0"/>
              <c:showVal val="1"/>
              <c:showCatName val="0"/>
              <c:showSerName val="0"/>
              <c:showPercent val="0"/>
              <c:showBubbleSize val="0"/>
            </c:dLbl>
            <c:dLbl>
              <c:idx val="1"/>
              <c:layout>
                <c:manualLayout>
                  <c:x val="-2.9330708661417324E-3"/>
                  <c:y val="1.8830570011672373E-2"/>
                </c:manualLayout>
              </c:layout>
              <c:showLegendKey val="0"/>
              <c:showVal val="1"/>
              <c:showCatName val="0"/>
              <c:showSerName val="0"/>
              <c:showPercent val="0"/>
              <c:showBubbleSize val="0"/>
            </c:dLbl>
            <c:dLbl>
              <c:idx val="2"/>
              <c:layout>
                <c:manualLayout>
                  <c:x val="-5.46448087431693E-2"/>
                  <c:y val="1.2552465983593055E-2"/>
                </c:manualLayout>
              </c:layout>
              <c:showLegendKey val="0"/>
              <c:showVal val="1"/>
              <c:showCatName val="0"/>
              <c:showSerName val="0"/>
              <c:showPercent val="0"/>
              <c:showBubbleSize val="0"/>
            </c:dLbl>
            <c:dLbl>
              <c:idx val="3"/>
              <c:layout>
                <c:manualLayout>
                  <c:x val="-1.912568306010929E-2"/>
                  <c:y val="6.2763153559779921E-3"/>
                </c:manualLayout>
              </c:layout>
              <c:showLegendKey val="0"/>
              <c:showVal val="1"/>
              <c:showCatName val="0"/>
              <c:showSerName val="0"/>
              <c:showPercent val="0"/>
              <c:showBubbleSize val="0"/>
            </c:dLbl>
            <c:dLbl>
              <c:idx val="4"/>
              <c:layout>
                <c:manualLayout>
                  <c:x val="-3.9617486338797817E-2"/>
                  <c:y val="4.1841004184100415E-3"/>
                </c:manualLayout>
              </c:layout>
              <c:showLegendKey val="0"/>
              <c:showVal val="1"/>
              <c:showCatName val="0"/>
              <c:showSerName val="0"/>
              <c:showPercent val="0"/>
              <c:showBubbleSize val="0"/>
            </c:dLbl>
            <c:dLbl>
              <c:idx val="5"/>
              <c:layout>
                <c:manualLayout>
                  <c:x val="-3.4153005464480878E-2"/>
                  <c:y val="-2.0920502092050207E-3"/>
                </c:manualLayout>
              </c:layout>
              <c:showLegendKey val="0"/>
              <c:showVal val="1"/>
              <c:showCatName val="0"/>
              <c:showSerName val="0"/>
              <c:showPercent val="0"/>
              <c:showBubbleSize val="0"/>
            </c:dLbl>
            <c:dLbl>
              <c:idx val="6"/>
              <c:layout>
                <c:manualLayout>
                  <c:x val="-1.6393442622950821E-2"/>
                  <c:y val="4.1841004184100415E-3"/>
                </c:manualLayout>
              </c:layout>
              <c:showLegendKey val="0"/>
              <c:showVal val="1"/>
              <c:showCatName val="0"/>
              <c:showSerName val="0"/>
              <c:showPercent val="0"/>
              <c:showBubbleSize val="0"/>
            </c:dLbl>
            <c:dLbl>
              <c:idx val="7"/>
              <c:layout>
                <c:manualLayout>
                  <c:x val="-1.3661202185792349E-2"/>
                  <c:y val="2.0920502092050207E-3"/>
                </c:manualLayout>
              </c:layout>
              <c:showLegendKey val="0"/>
              <c:showVal val="1"/>
              <c:showCatName val="0"/>
              <c:showSerName val="0"/>
              <c:showPercent val="0"/>
              <c:showBubbleSize val="0"/>
            </c:dLbl>
            <c:dLbl>
              <c:idx val="8"/>
              <c:layout>
                <c:manualLayout>
                  <c:x val="-4.0983606557377046E-2"/>
                  <c:y val="-7.6707621537861041E-17"/>
                </c:manualLayout>
              </c:layout>
              <c:showLegendKey val="0"/>
              <c:showVal val="1"/>
              <c:showCatName val="0"/>
              <c:showSerName val="0"/>
              <c:showPercent val="0"/>
              <c:showBubbleSize val="0"/>
            </c:dLbl>
            <c:dLbl>
              <c:idx val="9"/>
              <c:layout>
                <c:manualLayout>
                  <c:x val="-3.4153005464480878E-2"/>
                  <c:y val="4.1841004184100415E-3"/>
                </c:manualLayout>
              </c:layout>
              <c:showLegendKey val="0"/>
              <c:showVal val="1"/>
              <c:showCatName val="0"/>
              <c:showSerName val="0"/>
              <c:showPercent val="0"/>
              <c:showBubbleSize val="0"/>
            </c:dLbl>
            <c:dLbl>
              <c:idx val="10"/>
              <c:layout>
                <c:manualLayout>
                  <c:x val="-4.0983606557377046E-2"/>
                  <c:y val="8.368200836820083E-3"/>
                </c:manualLayout>
              </c:layout>
              <c:showLegendKey val="0"/>
              <c:showVal val="1"/>
              <c:showCatName val="0"/>
              <c:showSerName val="0"/>
              <c:showPercent val="0"/>
              <c:showBubbleSize val="0"/>
            </c:dLbl>
            <c:txPr>
              <a:bodyPr anchor="ctr" anchorCtr="1"/>
              <a:lstStyle/>
              <a:p>
                <a:pPr>
                  <a:defRPr sz="10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 Палана</c:v>
                </c:pt>
              </c:strCache>
            </c:strRef>
          </c:cat>
          <c:val>
            <c:numRef>
              <c:f>Лист1!$B$3:$D$3</c:f>
              <c:numCache>
                <c:formatCode>0.00;[Red]0.00</c:formatCode>
                <c:ptCount val="3"/>
                <c:pt idx="0">
                  <c:v>0.12</c:v>
                </c:pt>
                <c:pt idx="1">
                  <c:v>0</c:v>
                </c:pt>
                <c:pt idx="2">
                  <c:v>1</c:v>
                </c:pt>
              </c:numCache>
            </c:numRef>
          </c:val>
          <c:shape val="cylinder"/>
        </c:ser>
        <c:ser>
          <c:idx val="2"/>
          <c:order val="2"/>
          <c:tx>
            <c:strRef>
              <c:f>Лист1!$A$4</c:f>
              <c:strCache>
                <c:ptCount val="1"/>
                <c:pt idx="0">
                  <c:v>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c:v>
                </c:pt>
              </c:strCache>
            </c:strRef>
          </c:tx>
          <c:invertIfNegative val="0"/>
          <c:dLbls>
            <c:dLbl>
              <c:idx val="0"/>
              <c:layout>
                <c:manualLayout>
                  <c:x val="-6.8306010928961495E-3"/>
                  <c:y val="6.2761506276150627E-3"/>
                </c:manualLayout>
              </c:layout>
              <c:showLegendKey val="0"/>
              <c:showVal val="1"/>
              <c:showCatName val="0"/>
              <c:showSerName val="0"/>
              <c:showPercent val="0"/>
              <c:showBubbleSize val="0"/>
            </c:dLbl>
            <c:dLbl>
              <c:idx val="1"/>
              <c:layout>
                <c:manualLayout>
                  <c:x val="-5.0503536053602749E-2"/>
                  <c:y val="1.4644554295565285E-2"/>
                </c:manualLayout>
              </c:layout>
              <c:showLegendKey val="0"/>
              <c:showVal val="1"/>
              <c:showCatName val="0"/>
              <c:showSerName val="0"/>
              <c:showPercent val="0"/>
              <c:showBubbleSize val="0"/>
            </c:dLbl>
            <c:dLbl>
              <c:idx val="2"/>
              <c:layout>
                <c:manualLayout>
                  <c:x val="-4.6448087431693992E-2"/>
                  <c:y val="8.3683655651830124E-3"/>
                </c:manualLayout>
              </c:layout>
              <c:showLegendKey val="0"/>
              <c:showVal val="1"/>
              <c:showCatName val="0"/>
              <c:showSerName val="0"/>
              <c:showPercent val="0"/>
              <c:showBubbleSize val="0"/>
            </c:dLbl>
            <c:dLbl>
              <c:idx val="3"/>
              <c:layout>
                <c:manualLayout>
                  <c:x val="-3.9617486338797817E-2"/>
                  <c:y val="4.1841004184100415E-3"/>
                </c:manualLayout>
              </c:layout>
              <c:showLegendKey val="0"/>
              <c:showVal val="1"/>
              <c:showCatName val="0"/>
              <c:showSerName val="0"/>
              <c:showPercent val="0"/>
              <c:showBubbleSize val="0"/>
            </c:dLbl>
            <c:dLbl>
              <c:idx val="4"/>
              <c:layout>
                <c:manualLayout>
                  <c:x val="-2.7322404371584699E-2"/>
                  <c:y val="2.0920502092050207E-3"/>
                </c:manualLayout>
              </c:layout>
              <c:showLegendKey val="0"/>
              <c:showVal val="1"/>
              <c:showCatName val="0"/>
              <c:showSerName val="0"/>
              <c:showPercent val="0"/>
              <c:showBubbleSize val="0"/>
            </c:dLbl>
            <c:dLbl>
              <c:idx val="5"/>
              <c:layout>
                <c:manualLayout>
                  <c:x val="-3.1420765027322405E-2"/>
                  <c:y val="0"/>
                </c:manualLayout>
              </c:layout>
              <c:showLegendKey val="0"/>
              <c:showVal val="1"/>
              <c:showCatName val="0"/>
              <c:showSerName val="0"/>
              <c:showPercent val="0"/>
              <c:showBubbleSize val="0"/>
            </c:dLbl>
            <c:dLbl>
              <c:idx val="6"/>
              <c:layout>
                <c:manualLayout>
                  <c:x val="-1.912568306010929E-2"/>
                  <c:y val="2.0920502092050207E-3"/>
                </c:manualLayout>
              </c:layout>
              <c:showLegendKey val="0"/>
              <c:showVal val="1"/>
              <c:showCatName val="0"/>
              <c:showSerName val="0"/>
              <c:showPercent val="0"/>
              <c:showBubbleSize val="0"/>
            </c:dLbl>
            <c:dLbl>
              <c:idx val="7"/>
              <c:layout>
                <c:manualLayout>
                  <c:x val="-1.092896174863388E-2"/>
                  <c:y val="6.2763153559779921E-3"/>
                </c:manualLayout>
              </c:layout>
              <c:showLegendKey val="0"/>
              <c:showVal val="1"/>
              <c:showCatName val="0"/>
              <c:showSerName val="0"/>
              <c:showPercent val="0"/>
              <c:showBubbleSize val="0"/>
            </c:dLbl>
            <c:dLbl>
              <c:idx val="8"/>
              <c:layout>
                <c:manualLayout>
                  <c:x val="-2.7322404371584699E-2"/>
                  <c:y val="6.2761506276149863E-3"/>
                </c:manualLayout>
              </c:layout>
              <c:showLegendKey val="0"/>
              <c:showVal val="1"/>
              <c:showCatName val="0"/>
              <c:showSerName val="0"/>
              <c:showPercent val="0"/>
              <c:showBubbleSize val="0"/>
            </c:dLbl>
            <c:dLbl>
              <c:idx val="10"/>
              <c:layout>
                <c:manualLayout>
                  <c:x val="-2.4590163934426229E-2"/>
                  <c:y val="4.1841004184100415E-3"/>
                </c:manualLayout>
              </c:layout>
              <c:showLegendKey val="0"/>
              <c:showVal val="1"/>
              <c:showCatName val="0"/>
              <c:showSerName val="0"/>
              <c:showPercent val="0"/>
              <c:showBubbleSize val="0"/>
            </c:dLbl>
            <c:txPr>
              <a:bodyPr anchor="b" anchorCtr="1"/>
              <a:lstStyle/>
              <a:p>
                <a:pPr>
                  <a:defRPr sz="1000" baseline="0"/>
                </a:pPr>
                <a:endParaRPr lang="ru-RU"/>
              </a:p>
            </c:txPr>
            <c:showLegendKey val="0"/>
            <c:showVal val="1"/>
            <c:showCatName val="0"/>
            <c:showSerName val="0"/>
            <c:showPercent val="0"/>
            <c:showBubbleSize val="0"/>
            <c:showLeaderLines val="0"/>
          </c:dLbls>
          <c:cat>
            <c:strRef>
              <c:f>Лист1!$B$1:$D$1</c:f>
              <c:strCache>
                <c:ptCount val="3"/>
                <c:pt idx="0">
                  <c:v>Петропавловск-Камчатский</c:v>
                </c:pt>
                <c:pt idx="1">
                  <c:v>Вилючинский</c:v>
                </c:pt>
                <c:pt idx="2">
                  <c:v>п. Палана</c:v>
                </c:pt>
              </c:strCache>
            </c:strRef>
          </c:cat>
          <c:val>
            <c:numRef>
              <c:f>Лист1!$B$4:$D$4</c:f>
              <c:numCache>
                <c:formatCode>0.00;[Red]0.00</c:formatCode>
                <c:ptCount val="3"/>
                <c:pt idx="0">
                  <c:v>0</c:v>
                </c:pt>
                <c:pt idx="1">
                  <c:v>1</c:v>
                </c:pt>
                <c:pt idx="2">
                  <c:v>1</c:v>
                </c:pt>
              </c:numCache>
            </c:numRef>
          </c:val>
          <c:shape val="cylinder"/>
        </c:ser>
        <c:dLbls>
          <c:showLegendKey val="0"/>
          <c:showVal val="1"/>
          <c:showCatName val="0"/>
          <c:showSerName val="0"/>
          <c:showPercent val="0"/>
          <c:showBubbleSize val="0"/>
        </c:dLbls>
        <c:gapWidth val="100"/>
        <c:gapDepth val="0"/>
        <c:shape val="pyramid"/>
        <c:axId val="182597888"/>
        <c:axId val="182648832"/>
        <c:axId val="0"/>
      </c:bar3DChart>
      <c:catAx>
        <c:axId val="182597888"/>
        <c:scaling>
          <c:orientation val="maxMin"/>
        </c:scaling>
        <c:delete val="0"/>
        <c:axPos val="l"/>
        <c:majorGridlines>
          <c:spPr>
            <a:ln w="12700">
              <a:solidFill>
                <a:schemeClr val="tx2"/>
              </a:solidFill>
            </a:ln>
          </c:spPr>
        </c:majorGridlines>
        <c:numFmt formatCode="#,##0.00" sourceLinked="0"/>
        <c:majorTickMark val="out"/>
        <c:minorTickMark val="none"/>
        <c:tickLblPos val="nextTo"/>
        <c:spPr>
          <a:ln w="19050" cap="sq" cmpd="sng">
            <a:solidFill>
              <a:schemeClr val="tx1"/>
            </a:solidFill>
            <a:round/>
            <a:headEnd type="oval" w="med" len="sm"/>
            <a:tailEnd type="oval"/>
          </a:ln>
        </c:spPr>
        <c:txPr>
          <a:bodyPr rot="0" vert="horz" anchor="t" anchorCtr="0"/>
          <a:lstStyle/>
          <a:p>
            <a:pPr>
              <a:defRPr sz="1000" b="0" i="0" u="none" baseline="0"/>
            </a:pPr>
            <a:endParaRPr lang="ru-RU"/>
          </a:p>
        </c:txPr>
        <c:crossAx val="182648832"/>
        <c:crossesAt val="0"/>
        <c:auto val="0"/>
        <c:lblAlgn val="ctr"/>
        <c:lblOffset val="100"/>
        <c:tickLblSkip val="1"/>
        <c:noMultiLvlLbl val="0"/>
      </c:catAx>
      <c:valAx>
        <c:axId val="182648832"/>
        <c:scaling>
          <c:orientation val="minMax"/>
        </c:scaling>
        <c:delete val="1"/>
        <c:axPos val="t"/>
        <c:minorGridlines/>
        <c:numFmt formatCode="General" sourceLinked="0"/>
        <c:majorTickMark val="out"/>
        <c:minorTickMark val="none"/>
        <c:tickLblPos val="nextTo"/>
        <c:crossAx val="182597888"/>
        <c:crossesAt val="1"/>
        <c:crossBetween val="between"/>
      </c:valAx>
    </c:plotArea>
    <c:legend>
      <c:legendPos val="b"/>
      <c:layout>
        <c:manualLayout>
          <c:xMode val="edge"/>
          <c:yMode val="edge"/>
          <c:x val="8.2585732111354934E-2"/>
          <c:y val="0.64662224491813003"/>
          <c:w val="0.86215094014887483"/>
          <c:h val="0.33873340361743487"/>
        </c:manualLayout>
      </c:layout>
      <c:overlay val="0"/>
      <c:txPr>
        <a:bodyPr/>
        <a:lstStyle/>
        <a:p>
          <a:pPr>
            <a:defRPr sz="1000" baseline="0"/>
          </a:pPr>
          <a:endParaRPr lang="ru-RU"/>
        </a:p>
      </c:txPr>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0"/>
      <c:rotY val="0"/>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3.7513754060973335E-4"/>
          <c:y val="0.6031602579334191"/>
          <c:w val="0.99534815979714286"/>
          <c:h val="0.23542062217712545"/>
        </c:manualLayout>
      </c:layout>
      <c:bar3DChart>
        <c:barDir val="col"/>
        <c:grouping val="clustered"/>
        <c:varyColors val="0"/>
        <c:ser>
          <c:idx val="0"/>
          <c:order val="0"/>
          <c:tx>
            <c:strRef>
              <c:f>Лист1!$A$2</c:f>
              <c:strCache>
                <c:ptCount val="1"/>
                <c:pt idx="0">
                  <c:v>Доля выпускников муниципальных общеобразовательных учреждений, сдавших единый государственный экзамен по русскому языку и математике, в общей численности выпускников муниципальных общеобразовательных учреждений, сдававших единый государственный экзамен по</c:v>
                </c:pt>
              </c:strCache>
            </c:strRef>
          </c:tx>
          <c:spPr>
            <a:solidFill>
              <a:schemeClr val="tx2">
                <a:lumMod val="60000"/>
                <a:lumOff val="40000"/>
              </a:schemeClr>
            </a:solidFill>
            <a:scene3d>
              <a:camera prst="orthographicFront"/>
              <a:lightRig rig="threePt" dir="t"/>
            </a:scene3d>
            <a:sp3d prstMaterial="dkEdge"/>
          </c:spPr>
          <c:invertIfNegative val="0"/>
          <c:dLbls>
            <c:txPr>
              <a:bodyPr rot="-5400000" vert="horz"/>
              <a:lstStyle/>
              <a:p>
                <a:pPr>
                  <a:defRPr sz="70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Лист1!$B$2:$L$2</c:f>
              <c:numCache>
                <c:formatCode>0.00;[Red]0.00</c:formatCode>
                <c:ptCount val="11"/>
                <c:pt idx="0">
                  <c:v>0.48</c:v>
                </c:pt>
                <c:pt idx="1">
                  <c:v>0.77</c:v>
                </c:pt>
                <c:pt idx="2">
                  <c:v>0.36</c:v>
                </c:pt>
                <c:pt idx="3">
                  <c:v>0.5</c:v>
                </c:pt>
                <c:pt idx="4">
                  <c:v>0.38</c:v>
                </c:pt>
                <c:pt idx="5">
                  <c:v>0</c:v>
                </c:pt>
                <c:pt idx="6">
                  <c:v>0.52</c:v>
                </c:pt>
                <c:pt idx="7">
                  <c:v>0.48</c:v>
                </c:pt>
                <c:pt idx="8">
                  <c:v>0.96</c:v>
                </c:pt>
                <c:pt idx="9">
                  <c:v>0.91</c:v>
                </c:pt>
                <c:pt idx="10">
                  <c:v>0.76</c:v>
                </c:pt>
              </c:numCache>
            </c:numRef>
          </c:val>
        </c:ser>
        <c:ser>
          <c:idx val="1"/>
          <c:order val="1"/>
          <c:tx>
            <c:strRef>
              <c:f>Лист1!$A$3</c:f>
              <c:strCache>
                <c:ptCount val="1"/>
                <c:pt idx="0">
                  <c:v>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учреждений</c:v>
                </c:pt>
              </c:strCache>
            </c:strRef>
          </c:tx>
          <c:invertIfNegative val="0"/>
          <c:dLbls>
            <c:txPr>
              <a:bodyPr rot="-5400000" vert="horz"/>
              <a:lstStyle/>
              <a:p>
                <a:pPr>
                  <a:defRPr sz="70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Лист1!$B$3:$L$3</c:f>
              <c:numCache>
                <c:formatCode>0.00;[Red]0.00</c:formatCode>
                <c:ptCount val="11"/>
                <c:pt idx="0">
                  <c:v>1</c:v>
                </c:pt>
                <c:pt idx="1">
                  <c:v>0.9</c:v>
                </c:pt>
                <c:pt idx="2">
                  <c:v>0.32</c:v>
                </c:pt>
                <c:pt idx="3">
                  <c:v>0.93</c:v>
                </c:pt>
                <c:pt idx="4">
                  <c:v>0.92</c:v>
                </c:pt>
                <c:pt idx="5">
                  <c:v>0.2</c:v>
                </c:pt>
                <c:pt idx="6">
                  <c:v>0.39</c:v>
                </c:pt>
                <c:pt idx="7">
                  <c:v>1</c:v>
                </c:pt>
                <c:pt idx="8">
                  <c:v>0.97</c:v>
                </c:pt>
                <c:pt idx="9">
                  <c:v>1</c:v>
                </c:pt>
                <c:pt idx="10">
                  <c:v>0.98</c:v>
                </c:pt>
              </c:numCache>
            </c:numRef>
          </c:val>
        </c:ser>
        <c:ser>
          <c:idx val="2"/>
          <c:order val="2"/>
          <c:tx>
            <c:strRef>
              <c:f>Лист1!$A$4</c:f>
              <c:strCache>
                <c:ptCount val="1"/>
                <c:pt idx="0">
                  <c:v>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c:v>
                </c:pt>
              </c:strCache>
            </c:strRef>
          </c:tx>
          <c:invertIfNegative val="0"/>
          <c:dLbls>
            <c:txPr>
              <a:bodyPr rot="-5400000" vert="horz"/>
              <a:lstStyle/>
              <a:p>
                <a:pPr>
                  <a:defRPr sz="70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Лист1!$B$4:$L$4</c:f>
              <c:numCache>
                <c:formatCode>0.00;[Red]0.00</c:formatCode>
                <c:ptCount val="11"/>
                <c:pt idx="0">
                  <c:v>0.84</c:v>
                </c:pt>
                <c:pt idx="1">
                  <c:v>0.89</c:v>
                </c:pt>
                <c:pt idx="2">
                  <c:v>0.84</c:v>
                </c:pt>
                <c:pt idx="3">
                  <c:v>0.7</c:v>
                </c:pt>
                <c:pt idx="4">
                  <c:v>0.68</c:v>
                </c:pt>
                <c:pt idx="5">
                  <c:v>0.78</c:v>
                </c:pt>
                <c:pt idx="6">
                  <c:v>0.75993087681197058</c:v>
                </c:pt>
                <c:pt idx="7">
                  <c:v>0.77</c:v>
                </c:pt>
                <c:pt idx="8">
                  <c:v>0.85</c:v>
                </c:pt>
                <c:pt idx="9">
                  <c:v>0</c:v>
                </c:pt>
                <c:pt idx="10">
                  <c:v>0</c:v>
                </c:pt>
              </c:numCache>
            </c:numRef>
          </c:val>
        </c:ser>
        <c:ser>
          <c:idx val="3"/>
          <c:order val="3"/>
          <c:tx>
            <c:strRef>
              <c:f>Лист1!$A$5</c:f>
              <c:strCache>
                <c:ptCount val="1"/>
                <c:pt idx="0">
                  <c:v>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c:v>
                </c:pt>
              </c:strCache>
            </c:strRef>
          </c:tx>
          <c:invertIfNegative val="0"/>
          <c:dLbls>
            <c:txPr>
              <a:bodyPr rot="-5400000" vert="horz"/>
              <a:lstStyle/>
              <a:p>
                <a:pPr>
                  <a:defRPr sz="70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Лист1!$B$5:$L$5</c:f>
              <c:numCache>
                <c:formatCode>0.00;[Red]0.00</c:formatCode>
                <c:ptCount val="11"/>
                <c:pt idx="0">
                  <c:v>1</c:v>
                </c:pt>
                <c:pt idx="1">
                  <c:v>0.72</c:v>
                </c:pt>
                <c:pt idx="2">
                  <c:v>0.43</c:v>
                </c:pt>
                <c:pt idx="3">
                  <c:v>1</c:v>
                </c:pt>
                <c:pt idx="4">
                  <c:v>1</c:v>
                </c:pt>
                <c:pt idx="5">
                  <c:v>1</c:v>
                </c:pt>
                <c:pt idx="6">
                  <c:v>0.89</c:v>
                </c:pt>
                <c:pt idx="7">
                  <c:v>0.28999999999999998</c:v>
                </c:pt>
                <c:pt idx="8">
                  <c:v>0.33</c:v>
                </c:pt>
                <c:pt idx="9">
                  <c:v>0.89</c:v>
                </c:pt>
                <c:pt idx="10">
                  <c:v>0.3</c:v>
                </c:pt>
              </c:numCache>
            </c:numRef>
          </c:val>
        </c:ser>
        <c:ser>
          <c:idx val="4"/>
          <c:order val="4"/>
          <c:tx>
            <c:strRef>
              <c:f>Лист1!$A$6</c:f>
              <c:strCache>
                <c:ptCount val="1"/>
                <c:pt idx="0">
                  <c:v>Доля детей первой и второй групп здоровья 
в общей численности обучающихся в муниципальных общеобразовательных учреждениях</c:v>
                </c:pt>
              </c:strCache>
            </c:strRef>
          </c:tx>
          <c:invertIfNegative val="0"/>
          <c:dLbls>
            <c:txPr>
              <a:bodyPr rot="-5400000" vert="horz"/>
              <a:lstStyle/>
              <a:p>
                <a:pPr>
                  <a:defRPr sz="70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Лист1!$B$6:$L$6</c:f>
              <c:numCache>
                <c:formatCode>0.00;[Red]0.00</c:formatCode>
                <c:ptCount val="11"/>
                <c:pt idx="0">
                  <c:v>0.34</c:v>
                </c:pt>
                <c:pt idx="1">
                  <c:v>0.18</c:v>
                </c:pt>
                <c:pt idx="2">
                  <c:v>0.56999999999999995</c:v>
                </c:pt>
                <c:pt idx="3">
                  <c:v>0.24</c:v>
                </c:pt>
                <c:pt idx="4">
                  <c:v>0.52</c:v>
                </c:pt>
                <c:pt idx="5">
                  <c:v>0.47</c:v>
                </c:pt>
                <c:pt idx="6">
                  <c:v>0.37</c:v>
                </c:pt>
                <c:pt idx="7">
                  <c:v>0.41</c:v>
                </c:pt>
                <c:pt idx="8">
                  <c:v>0.34</c:v>
                </c:pt>
                <c:pt idx="9">
                  <c:v>0.52</c:v>
                </c:pt>
                <c:pt idx="10">
                  <c:v>0.6</c:v>
                </c:pt>
              </c:numCache>
            </c:numRef>
          </c:val>
        </c:ser>
        <c:ser>
          <c:idx val="5"/>
          <c:order val="5"/>
          <c:tx>
            <c:strRef>
              <c:f>Лист1!$A$7</c:f>
              <c:strCache>
                <c:ptCount val="1"/>
                <c:pt idx="0">
                  <c:v>Доля обучающихся в муниципальных общеобразовательных учреждениях, занимающихся во вторую (третью) смену, в общей численности обучающихся в муниципальных общеобразовательных учреждениях</c:v>
                </c:pt>
              </c:strCache>
            </c:strRef>
          </c:tx>
          <c:invertIfNegative val="0"/>
          <c:dLbls>
            <c:txPr>
              <a:bodyPr rot="-5400000" vert="horz"/>
              <a:lstStyle/>
              <a:p>
                <a:pPr>
                  <a:defRPr sz="70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Лист1!$B$7:$L$7</c:f>
              <c:numCache>
                <c:formatCode>0.00;[Red]0.00</c:formatCode>
                <c:ptCount val="11"/>
                <c:pt idx="0">
                  <c:v>1</c:v>
                </c:pt>
                <c:pt idx="1">
                  <c:v>1</c:v>
                </c:pt>
                <c:pt idx="2">
                  <c:v>0.08</c:v>
                </c:pt>
                <c:pt idx="3">
                  <c:v>0.98</c:v>
                </c:pt>
                <c:pt idx="4">
                  <c:v>1</c:v>
                </c:pt>
                <c:pt idx="5">
                  <c:v>0.65</c:v>
                </c:pt>
                <c:pt idx="6">
                  <c:v>0.38</c:v>
                </c:pt>
                <c:pt idx="7">
                  <c:v>0.6</c:v>
                </c:pt>
                <c:pt idx="8">
                  <c:v>0.46</c:v>
                </c:pt>
                <c:pt idx="9">
                  <c:v>1</c:v>
                </c:pt>
                <c:pt idx="10">
                  <c:v>1</c:v>
                </c:pt>
              </c:numCache>
            </c:numRef>
          </c:val>
        </c:ser>
        <c:ser>
          <c:idx val="6"/>
          <c:order val="6"/>
          <c:tx>
            <c:strRef>
              <c:f>Лист1!$A$8</c:f>
              <c:strCache>
                <c:ptCount val="1"/>
                <c:pt idx="0">
                  <c:v>Доля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c:v>
                </c:pt>
              </c:strCache>
            </c:strRef>
          </c:tx>
          <c:invertIfNegative val="0"/>
          <c:dLbls>
            <c:txPr>
              <a:bodyPr rot="-5400000" vert="horz"/>
              <a:lstStyle/>
              <a:p>
                <a:pPr>
                  <a:defRPr sz="700"/>
                </a:pPr>
                <a:endParaRPr lang="ru-RU"/>
              </a:p>
            </c:txPr>
            <c:showLegendKey val="0"/>
            <c:showVal val="1"/>
            <c:showCatName val="0"/>
            <c:showSerName val="0"/>
            <c:showPercent val="0"/>
            <c:showBubbleSize val="0"/>
            <c:showLeaderLines val="0"/>
          </c:dLbls>
          <c:cat>
            <c:strRef>
              <c:f>Лист1!$B$1:$L$1</c:f>
              <c:strCache>
                <c:ptCount val="11"/>
                <c:pt idx="0">
                  <c:v>Алеутский</c:v>
                </c:pt>
                <c:pt idx="1">
                  <c:v>Быстринский</c:v>
                </c:pt>
                <c:pt idx="2">
                  <c:v>Елизовский</c:v>
                </c:pt>
                <c:pt idx="3">
                  <c:v>Мильковский</c:v>
                </c:pt>
                <c:pt idx="4">
                  <c:v>Соболевский</c:v>
                </c:pt>
                <c:pt idx="5">
                  <c:v>Усть-Большерецкий</c:v>
                </c:pt>
                <c:pt idx="6">
                  <c:v>Усть-Камчатский</c:v>
                </c:pt>
                <c:pt idx="7">
                  <c:v>Карагинский</c:v>
                </c:pt>
                <c:pt idx="8">
                  <c:v>Олюторский</c:v>
                </c:pt>
                <c:pt idx="9">
                  <c:v>Пенжинский</c:v>
                </c:pt>
                <c:pt idx="10">
                  <c:v>Тигильский</c:v>
                </c:pt>
              </c:strCache>
            </c:strRef>
          </c:cat>
          <c:val>
            <c:numRef>
              <c:f>Лист1!$B$8:$L$8</c:f>
              <c:numCache>
                <c:formatCode>0.00;[Red]0.00</c:formatCode>
                <c:ptCount val="11"/>
                <c:pt idx="0">
                  <c:v>0.78</c:v>
                </c:pt>
                <c:pt idx="1">
                  <c:v>0.66</c:v>
                </c:pt>
                <c:pt idx="2">
                  <c:v>0.76</c:v>
                </c:pt>
                <c:pt idx="3">
                  <c:v>0.26</c:v>
                </c:pt>
                <c:pt idx="4">
                  <c:v>0.86</c:v>
                </c:pt>
                <c:pt idx="5">
                  <c:v>0.51</c:v>
                </c:pt>
                <c:pt idx="6">
                  <c:v>0.43</c:v>
                </c:pt>
                <c:pt idx="7">
                  <c:v>0.46</c:v>
                </c:pt>
                <c:pt idx="8">
                  <c:v>0.63</c:v>
                </c:pt>
                <c:pt idx="9">
                  <c:v>0.52</c:v>
                </c:pt>
                <c:pt idx="10">
                  <c:v>0.17</c:v>
                </c:pt>
              </c:numCache>
            </c:numRef>
          </c:val>
        </c:ser>
        <c:dLbls>
          <c:showLegendKey val="0"/>
          <c:showVal val="1"/>
          <c:showCatName val="0"/>
          <c:showSerName val="0"/>
          <c:showPercent val="0"/>
          <c:showBubbleSize val="0"/>
        </c:dLbls>
        <c:gapWidth val="100"/>
        <c:gapDepth val="0"/>
        <c:shape val="cylinder"/>
        <c:axId val="182711040"/>
        <c:axId val="182712576"/>
        <c:axId val="0"/>
      </c:bar3DChart>
      <c:catAx>
        <c:axId val="182711040"/>
        <c:scaling>
          <c:orientation val="minMax"/>
        </c:scaling>
        <c:delete val="0"/>
        <c:axPos val="b"/>
        <c:majorGridlines>
          <c:spPr>
            <a:ln w="12700">
              <a:solidFill>
                <a:schemeClr val="tx2"/>
              </a:solidFill>
            </a:ln>
          </c:spPr>
        </c:majorGridlines>
        <c:numFmt formatCode="#,##0.00" sourceLinked="0"/>
        <c:majorTickMark val="out"/>
        <c:minorTickMark val="none"/>
        <c:tickLblPos val="nextTo"/>
        <c:spPr>
          <a:ln w="19050" cap="sq" cmpd="sng">
            <a:solidFill>
              <a:schemeClr val="tx1"/>
            </a:solidFill>
            <a:round/>
            <a:headEnd type="oval" w="med" len="sm"/>
            <a:tailEnd type="oval"/>
          </a:ln>
        </c:spPr>
        <c:txPr>
          <a:bodyPr rot="-5400000" vert="horz" anchor="t" anchorCtr="0"/>
          <a:lstStyle/>
          <a:p>
            <a:pPr>
              <a:defRPr sz="1000" b="0" i="0" u="none" baseline="0"/>
            </a:pPr>
            <a:endParaRPr lang="ru-RU"/>
          </a:p>
        </c:txPr>
        <c:crossAx val="182712576"/>
        <c:crossesAt val="0"/>
        <c:auto val="0"/>
        <c:lblAlgn val="ctr"/>
        <c:lblOffset val="100"/>
        <c:tickLblSkip val="1"/>
        <c:noMultiLvlLbl val="0"/>
      </c:catAx>
      <c:valAx>
        <c:axId val="182712576"/>
        <c:scaling>
          <c:orientation val="minMax"/>
        </c:scaling>
        <c:delete val="1"/>
        <c:axPos val="l"/>
        <c:minorGridlines/>
        <c:numFmt formatCode="General" sourceLinked="0"/>
        <c:majorTickMark val="out"/>
        <c:minorTickMark val="none"/>
        <c:tickLblPos val="nextTo"/>
        <c:crossAx val="182711040"/>
        <c:crossesAt val="1"/>
        <c:crossBetween val="between"/>
      </c:valAx>
      <c:spPr>
        <a:noFill/>
        <a:ln w="25400">
          <a:noFill/>
        </a:ln>
      </c:spPr>
    </c:plotArea>
    <c:legend>
      <c:legendPos val="t"/>
      <c:layout>
        <c:manualLayout>
          <c:xMode val="edge"/>
          <c:yMode val="edge"/>
          <c:x val="4.9797771180241836E-3"/>
          <c:y val="1.2552301255230125E-2"/>
          <c:w val="0.99502022288197578"/>
          <c:h val="0.51480199650775871"/>
        </c:manualLayout>
      </c:layout>
      <c:overlay val="1"/>
      <c:txPr>
        <a:bodyPr/>
        <a:lstStyle/>
        <a:p>
          <a:pPr>
            <a:defRPr sz="1000" baseline="0"/>
          </a:pPr>
          <a:endParaRPr lang="ru-RU"/>
        </a:p>
      </c:txPr>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0"/>
      <c:rotY val="10"/>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4.953108249599552E-2"/>
          <c:y val="0.69981335443501358"/>
          <c:w val="0.94069553805774275"/>
          <c:h val="0.24813428656146017"/>
        </c:manualLayout>
      </c:layout>
      <c:bar3DChart>
        <c:barDir val="col"/>
        <c:grouping val="clustered"/>
        <c:varyColors val="0"/>
        <c:ser>
          <c:idx val="0"/>
          <c:order val="0"/>
          <c:tx>
            <c:strRef>
              <c:f>'[рис 12 общее обрГО.xlsx]Лист1'!$A$2</c:f>
              <c:strCache>
                <c:ptCount val="1"/>
                <c:pt idx="0">
                  <c:v>Доля выпускников муниципальных общеобразовательных учреждений, сдавших единый государственный экзамен по русскому языку и математике, в общей численности выпускников муниципальных общеобразовательных учреждений, сдававших единый государственный экзамен по</c:v>
                </c:pt>
              </c:strCache>
            </c:strRef>
          </c:tx>
          <c:spPr>
            <a:solidFill>
              <a:schemeClr val="tx2">
                <a:lumMod val="60000"/>
                <a:lumOff val="40000"/>
              </a:schemeClr>
            </a:solidFill>
            <a:scene3d>
              <a:camera prst="orthographicFront"/>
              <a:lightRig rig="threePt" dir="t"/>
            </a:scene3d>
            <a:sp3d prstMaterial="dkEdge"/>
          </c:spPr>
          <c:invertIfNegative val="0"/>
          <c:dLbls>
            <c:dLbl>
              <c:idx val="2"/>
              <c:layout>
                <c:manualLayout>
                  <c:x val="-1.2820512820512898E-2"/>
                  <c:y val="3.2760032760032159E-3"/>
                </c:manualLayout>
              </c:layout>
              <c:showLegendKey val="0"/>
              <c:showVal val="1"/>
              <c:showCatName val="0"/>
              <c:showSerName val="0"/>
              <c:showPercent val="0"/>
              <c:showBubbleSize val="0"/>
            </c:dLbl>
            <c:txPr>
              <a:bodyPr/>
              <a:lstStyle/>
              <a:p>
                <a:pPr>
                  <a:defRPr sz="900"/>
                </a:pPr>
                <a:endParaRPr lang="ru-RU"/>
              </a:p>
            </c:txPr>
            <c:showLegendKey val="0"/>
            <c:showVal val="1"/>
            <c:showCatName val="0"/>
            <c:showSerName val="0"/>
            <c:showPercent val="0"/>
            <c:showBubbleSize val="0"/>
            <c:showLeaderLines val="0"/>
          </c:dLbls>
          <c:cat>
            <c:strRef>
              <c:f>'[рис 12 общее обрГО.xlsx]Лист1'!$B$1:$D$1</c:f>
              <c:strCache>
                <c:ptCount val="3"/>
                <c:pt idx="0">
                  <c:v>Петропавловск-Камчатский</c:v>
                </c:pt>
                <c:pt idx="1">
                  <c:v>Вилючинский</c:v>
                </c:pt>
                <c:pt idx="2">
                  <c:v>п. Палана</c:v>
                </c:pt>
              </c:strCache>
            </c:strRef>
          </c:cat>
          <c:val>
            <c:numRef>
              <c:f>'[рис 12 общее обрГО.xlsx]Лист1'!$B$2:$D$2</c:f>
              <c:numCache>
                <c:formatCode>0.00;[Red]0.00</c:formatCode>
                <c:ptCount val="3"/>
                <c:pt idx="0">
                  <c:v>0.54</c:v>
                </c:pt>
                <c:pt idx="1">
                  <c:v>0.37</c:v>
                </c:pt>
                <c:pt idx="2">
                  <c:v>1</c:v>
                </c:pt>
              </c:numCache>
            </c:numRef>
          </c:val>
        </c:ser>
        <c:ser>
          <c:idx val="1"/>
          <c:order val="1"/>
          <c:tx>
            <c:strRef>
              <c:f>'[рис 12 общее обрГО.xlsx]Лист1'!$A$3</c:f>
              <c:strCache>
                <c:ptCount val="1"/>
                <c:pt idx="0">
                  <c:v>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учреждений</c:v>
                </c:pt>
              </c:strCache>
            </c:strRef>
          </c:tx>
          <c:invertIfNegative val="0"/>
          <c:dLbls>
            <c:txPr>
              <a:bodyPr/>
              <a:lstStyle/>
              <a:p>
                <a:pPr>
                  <a:defRPr sz="900"/>
                </a:pPr>
                <a:endParaRPr lang="ru-RU"/>
              </a:p>
            </c:txPr>
            <c:showLegendKey val="0"/>
            <c:showVal val="1"/>
            <c:showCatName val="0"/>
            <c:showSerName val="0"/>
            <c:showPercent val="0"/>
            <c:showBubbleSize val="0"/>
            <c:showLeaderLines val="0"/>
          </c:dLbls>
          <c:cat>
            <c:strRef>
              <c:f>'[рис 12 общее обрГО.xlsx]Лист1'!$B$1:$D$1</c:f>
              <c:strCache>
                <c:ptCount val="3"/>
                <c:pt idx="0">
                  <c:v>Петропавловск-Камчатский</c:v>
                </c:pt>
                <c:pt idx="1">
                  <c:v>Вилючинский</c:v>
                </c:pt>
                <c:pt idx="2">
                  <c:v>п. Палана</c:v>
                </c:pt>
              </c:strCache>
            </c:strRef>
          </c:cat>
          <c:val>
            <c:numRef>
              <c:f>'[рис 12 общее обрГО.xlsx]Лист1'!$B$3:$D$3</c:f>
              <c:numCache>
                <c:formatCode>0.00;[Red]0.00</c:formatCode>
                <c:ptCount val="3"/>
                <c:pt idx="0">
                  <c:v>0</c:v>
                </c:pt>
                <c:pt idx="1">
                  <c:v>0.97</c:v>
                </c:pt>
                <c:pt idx="2">
                  <c:v>1</c:v>
                </c:pt>
              </c:numCache>
            </c:numRef>
          </c:val>
        </c:ser>
        <c:ser>
          <c:idx val="2"/>
          <c:order val="2"/>
          <c:tx>
            <c:strRef>
              <c:f>'[рис 12 общее обрГО.xlsx]Лист1'!$A$4</c:f>
              <c:strCache>
                <c:ptCount val="1"/>
                <c:pt idx="0">
                  <c:v>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c:v>
                </c:pt>
              </c:strCache>
            </c:strRef>
          </c:tx>
          <c:invertIfNegative val="0"/>
          <c:cat>
            <c:strRef>
              <c:f>'[рис 12 общее обрГО.xlsx]Лист1'!$B$1:$D$1</c:f>
              <c:strCache>
                <c:ptCount val="3"/>
                <c:pt idx="0">
                  <c:v>Петропавловск-Камчатский</c:v>
                </c:pt>
                <c:pt idx="1">
                  <c:v>Вилючинский</c:v>
                </c:pt>
                <c:pt idx="2">
                  <c:v>п. Палана</c:v>
                </c:pt>
              </c:strCache>
            </c:strRef>
          </c:cat>
          <c:val>
            <c:numRef>
              <c:f>'[рис 12 общее обрГО.xlsx]Лист1'!$B$4:$D$4</c:f>
              <c:numCache>
                <c:formatCode>0.00;[Red]0.00</c:formatCode>
                <c:ptCount val="3"/>
                <c:pt idx="0">
                  <c:v>0.22</c:v>
                </c:pt>
                <c:pt idx="1">
                  <c:v>0.6</c:v>
                </c:pt>
                <c:pt idx="2">
                  <c:v>0.4</c:v>
                </c:pt>
              </c:numCache>
            </c:numRef>
          </c:val>
        </c:ser>
        <c:ser>
          <c:idx val="3"/>
          <c:order val="3"/>
          <c:tx>
            <c:strRef>
              <c:f>'[рис 12 общее обрГО.xlsx]Лист1'!$A$5</c:f>
              <c:strCache>
                <c:ptCount val="1"/>
                <c:pt idx="0">
                  <c:v>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c:v>
                </c:pt>
              </c:strCache>
            </c:strRef>
          </c:tx>
          <c:invertIfNegative val="0"/>
          <c:dLbls>
            <c:txPr>
              <a:bodyPr/>
              <a:lstStyle/>
              <a:p>
                <a:pPr>
                  <a:defRPr sz="900"/>
                </a:pPr>
                <a:endParaRPr lang="ru-RU"/>
              </a:p>
            </c:txPr>
            <c:showLegendKey val="0"/>
            <c:showVal val="1"/>
            <c:showCatName val="0"/>
            <c:showSerName val="0"/>
            <c:showPercent val="0"/>
            <c:showBubbleSize val="0"/>
            <c:showLeaderLines val="0"/>
          </c:dLbls>
          <c:cat>
            <c:strRef>
              <c:f>'[рис 12 общее обрГО.xlsx]Лист1'!$B$1:$D$1</c:f>
              <c:strCache>
                <c:ptCount val="3"/>
                <c:pt idx="0">
                  <c:v>Петропавловск-Камчатский</c:v>
                </c:pt>
                <c:pt idx="1">
                  <c:v>Вилючинский</c:v>
                </c:pt>
                <c:pt idx="2">
                  <c:v>п. Палана</c:v>
                </c:pt>
              </c:strCache>
            </c:strRef>
          </c:cat>
          <c:val>
            <c:numRef>
              <c:f>'[рис 12 общее обрГО.xlsx]Лист1'!$B$5:$D$5</c:f>
              <c:numCache>
                <c:formatCode>0.00;[Red]0.00</c:formatCode>
                <c:ptCount val="3"/>
                <c:pt idx="0">
                  <c:v>0.56000000000000005</c:v>
                </c:pt>
                <c:pt idx="1">
                  <c:v>0</c:v>
                </c:pt>
                <c:pt idx="2">
                  <c:v>1</c:v>
                </c:pt>
              </c:numCache>
            </c:numRef>
          </c:val>
        </c:ser>
        <c:ser>
          <c:idx val="4"/>
          <c:order val="4"/>
          <c:tx>
            <c:strRef>
              <c:f>'[рис 12 общее обрГО.xlsx]Лист1'!$A$6</c:f>
              <c:strCache>
                <c:ptCount val="1"/>
                <c:pt idx="0">
                  <c:v>Доля детей первой и второй групп здоровья 
в общей численности обучающихся в муниципальных общеобразовательных учреждениях</c:v>
                </c:pt>
              </c:strCache>
            </c:strRef>
          </c:tx>
          <c:invertIfNegative val="0"/>
          <c:dLbls>
            <c:dLbl>
              <c:idx val="2"/>
              <c:layout>
                <c:manualLayout>
                  <c:x val="4.3950193429612766E-3"/>
                  <c:y val="-2.7628125431689459E-7"/>
                </c:manualLayout>
              </c:layout>
              <c:showLegendKey val="0"/>
              <c:showVal val="1"/>
              <c:showCatName val="0"/>
              <c:showSerName val="0"/>
              <c:showPercent val="0"/>
              <c:showBubbleSize val="0"/>
            </c:dLbl>
            <c:txPr>
              <a:bodyPr/>
              <a:lstStyle/>
              <a:p>
                <a:pPr>
                  <a:defRPr sz="900"/>
                </a:pPr>
                <a:endParaRPr lang="ru-RU"/>
              </a:p>
            </c:txPr>
            <c:showLegendKey val="0"/>
            <c:showVal val="1"/>
            <c:showCatName val="0"/>
            <c:showSerName val="0"/>
            <c:showPercent val="0"/>
            <c:showBubbleSize val="0"/>
            <c:showLeaderLines val="0"/>
          </c:dLbls>
          <c:cat>
            <c:strRef>
              <c:f>'[рис 12 общее обрГО.xlsx]Лист1'!$B$1:$D$1</c:f>
              <c:strCache>
                <c:ptCount val="3"/>
                <c:pt idx="0">
                  <c:v>Петропавловск-Камчатский</c:v>
                </c:pt>
                <c:pt idx="1">
                  <c:v>Вилючинский</c:v>
                </c:pt>
                <c:pt idx="2">
                  <c:v>п. Палана</c:v>
                </c:pt>
              </c:strCache>
            </c:strRef>
          </c:cat>
          <c:val>
            <c:numRef>
              <c:f>'[рис 12 общее обрГО.xlsx]Лист1'!$B$6:$D$6</c:f>
              <c:numCache>
                <c:formatCode>0.00;[Red]0.00</c:formatCode>
                <c:ptCount val="3"/>
                <c:pt idx="0">
                  <c:v>0.72</c:v>
                </c:pt>
                <c:pt idx="1">
                  <c:v>0.38</c:v>
                </c:pt>
                <c:pt idx="2">
                  <c:v>0.6</c:v>
                </c:pt>
              </c:numCache>
            </c:numRef>
          </c:val>
        </c:ser>
        <c:ser>
          <c:idx val="5"/>
          <c:order val="5"/>
          <c:tx>
            <c:strRef>
              <c:f>'[рис 12 общее обрГО.xlsx]Лист1'!$A$7</c:f>
              <c:strCache>
                <c:ptCount val="1"/>
                <c:pt idx="0">
                  <c:v>Доля обучающихся в муниципальных общеобразовательных учреждениях, занимающихся во вторую (третью) смену, в общей численности обучающихся в муниципальных общеобразовательных учреждениях</c:v>
                </c:pt>
              </c:strCache>
            </c:strRef>
          </c:tx>
          <c:invertIfNegative val="0"/>
          <c:dLbls>
            <c:txPr>
              <a:bodyPr/>
              <a:lstStyle/>
              <a:p>
                <a:pPr>
                  <a:defRPr sz="900"/>
                </a:pPr>
                <a:endParaRPr lang="ru-RU"/>
              </a:p>
            </c:txPr>
            <c:showLegendKey val="0"/>
            <c:showVal val="1"/>
            <c:showCatName val="0"/>
            <c:showSerName val="0"/>
            <c:showPercent val="0"/>
            <c:showBubbleSize val="0"/>
            <c:showLeaderLines val="0"/>
          </c:dLbls>
          <c:cat>
            <c:strRef>
              <c:f>'[рис 12 общее обрГО.xlsx]Лист1'!$B$1:$D$1</c:f>
              <c:strCache>
                <c:ptCount val="3"/>
                <c:pt idx="0">
                  <c:v>Петропавловск-Камчатский</c:v>
                </c:pt>
                <c:pt idx="1">
                  <c:v>Вилючинский</c:v>
                </c:pt>
                <c:pt idx="2">
                  <c:v>п. Палана</c:v>
                </c:pt>
              </c:strCache>
            </c:strRef>
          </c:cat>
          <c:val>
            <c:numRef>
              <c:f>'[рис 12 общее обрГО.xlsx]Лист1'!$B$7:$D$7</c:f>
              <c:numCache>
                <c:formatCode>0.00;[Red]0.00</c:formatCode>
                <c:ptCount val="3"/>
                <c:pt idx="0">
                  <c:v>0.2</c:v>
                </c:pt>
                <c:pt idx="1">
                  <c:v>0.04</c:v>
                </c:pt>
                <c:pt idx="2">
                  <c:v>1</c:v>
                </c:pt>
              </c:numCache>
            </c:numRef>
          </c:val>
        </c:ser>
        <c:ser>
          <c:idx val="6"/>
          <c:order val="6"/>
          <c:tx>
            <c:strRef>
              <c:f>'[рис 12 общее обрГО.xlsx]Лист1'!$A$8</c:f>
              <c:strCache>
                <c:ptCount val="1"/>
                <c:pt idx="0">
                  <c:v>Доля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c:v>
                </c:pt>
              </c:strCache>
            </c:strRef>
          </c:tx>
          <c:invertIfNegative val="0"/>
          <c:dLbls>
            <c:txPr>
              <a:bodyPr/>
              <a:lstStyle/>
              <a:p>
                <a:pPr>
                  <a:defRPr sz="900"/>
                </a:pPr>
                <a:endParaRPr lang="ru-RU"/>
              </a:p>
            </c:txPr>
            <c:showLegendKey val="0"/>
            <c:showVal val="1"/>
            <c:showCatName val="0"/>
            <c:showSerName val="0"/>
            <c:showPercent val="0"/>
            <c:showBubbleSize val="0"/>
            <c:showLeaderLines val="0"/>
          </c:dLbls>
          <c:cat>
            <c:strRef>
              <c:f>'[рис 12 общее обрГО.xlsx]Лист1'!$B$1:$D$1</c:f>
              <c:strCache>
                <c:ptCount val="3"/>
                <c:pt idx="0">
                  <c:v>Петропавловск-Камчатский</c:v>
                </c:pt>
                <c:pt idx="1">
                  <c:v>Вилючинский</c:v>
                </c:pt>
                <c:pt idx="2">
                  <c:v>п. Палана</c:v>
                </c:pt>
              </c:strCache>
            </c:strRef>
          </c:cat>
          <c:val>
            <c:numRef>
              <c:f>'[рис 12 общее обрГО.xlsx]Лист1'!$B$8:$D$8</c:f>
              <c:numCache>
                <c:formatCode>0.00;[Red]0.00</c:formatCode>
                <c:ptCount val="3"/>
                <c:pt idx="0">
                  <c:v>0.81</c:v>
                </c:pt>
                <c:pt idx="1">
                  <c:v>0.6</c:v>
                </c:pt>
                <c:pt idx="2">
                  <c:v>0.4</c:v>
                </c:pt>
              </c:numCache>
            </c:numRef>
          </c:val>
        </c:ser>
        <c:dLbls>
          <c:showLegendKey val="0"/>
          <c:showVal val="1"/>
          <c:showCatName val="0"/>
          <c:showSerName val="0"/>
          <c:showPercent val="0"/>
          <c:showBubbleSize val="0"/>
        </c:dLbls>
        <c:gapWidth val="100"/>
        <c:gapDepth val="0"/>
        <c:shape val="cylinder"/>
        <c:axId val="182741632"/>
        <c:axId val="182751616"/>
        <c:axId val="0"/>
      </c:bar3DChart>
      <c:catAx>
        <c:axId val="182741632"/>
        <c:scaling>
          <c:orientation val="minMax"/>
        </c:scaling>
        <c:delete val="0"/>
        <c:axPos val="b"/>
        <c:majorGridlines>
          <c:spPr>
            <a:ln w="12700">
              <a:solidFill>
                <a:schemeClr val="tx2"/>
              </a:solidFill>
            </a:ln>
          </c:spPr>
        </c:majorGridlines>
        <c:numFmt formatCode="#,##0.00" sourceLinked="0"/>
        <c:majorTickMark val="out"/>
        <c:minorTickMark val="none"/>
        <c:tickLblPos val="nextTo"/>
        <c:spPr>
          <a:ln w="19050" cap="sq" cmpd="sng">
            <a:solidFill>
              <a:schemeClr val="tx1"/>
            </a:solidFill>
            <a:round/>
            <a:headEnd type="oval" w="med" len="sm"/>
            <a:tailEnd type="oval"/>
          </a:ln>
        </c:spPr>
        <c:txPr>
          <a:bodyPr rot="0" vert="horz" anchor="t" anchorCtr="0"/>
          <a:lstStyle/>
          <a:p>
            <a:pPr>
              <a:defRPr sz="1000" b="0" i="0" u="none" baseline="0"/>
            </a:pPr>
            <a:endParaRPr lang="ru-RU"/>
          </a:p>
        </c:txPr>
        <c:crossAx val="182751616"/>
        <c:crossesAt val="0"/>
        <c:auto val="0"/>
        <c:lblAlgn val="ctr"/>
        <c:lblOffset val="100"/>
        <c:tickLblSkip val="1"/>
        <c:noMultiLvlLbl val="0"/>
      </c:catAx>
      <c:valAx>
        <c:axId val="182751616"/>
        <c:scaling>
          <c:orientation val="minMax"/>
        </c:scaling>
        <c:delete val="1"/>
        <c:axPos val="l"/>
        <c:minorGridlines/>
        <c:numFmt formatCode="General" sourceLinked="0"/>
        <c:majorTickMark val="out"/>
        <c:minorTickMark val="none"/>
        <c:tickLblPos val="nextTo"/>
        <c:crossAx val="182741632"/>
        <c:crossesAt val="1"/>
        <c:crossBetween val="between"/>
      </c:valAx>
      <c:spPr>
        <a:noFill/>
        <a:ln w="25400">
          <a:noFill/>
        </a:ln>
      </c:spPr>
    </c:plotArea>
    <c:legend>
      <c:legendPos val="t"/>
      <c:legendEntry>
        <c:idx val="3"/>
        <c:txPr>
          <a:bodyPr/>
          <a:lstStyle/>
          <a:p>
            <a:pPr>
              <a:defRPr sz="900" baseline="0"/>
            </a:pPr>
            <a:endParaRPr lang="ru-RU"/>
          </a:p>
        </c:txPr>
      </c:legendEntry>
      <c:layout>
        <c:manualLayout>
          <c:xMode val="edge"/>
          <c:yMode val="edge"/>
          <c:x val="4.9797771180241836E-3"/>
          <c:y val="1.2552301255230125E-2"/>
          <c:w val="0.99502022288197578"/>
          <c:h val="0.6405091758687449"/>
        </c:manualLayout>
      </c:layout>
      <c:overlay val="1"/>
      <c:txPr>
        <a:bodyPr/>
        <a:lstStyle/>
        <a:p>
          <a:pPr>
            <a:defRPr sz="1000" baseline="0"/>
          </a:pPr>
          <a:endParaRPr lang="ru-RU"/>
        </a:p>
      </c:txPr>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40"/>
      <c:rotY val="130"/>
      <c:rAngAx val="1"/>
    </c:view3D>
    <c:floor>
      <c:thickness val="0"/>
      <c:spPr>
        <a:solidFill>
          <a:schemeClr val="accent6">
            <a:lumMod val="60000"/>
            <a:lumOff val="40000"/>
            <a:alpha val="43000"/>
          </a:schemeClr>
        </a:solidFill>
      </c:spPr>
    </c:floor>
    <c:sideWall>
      <c:thickness val="0"/>
    </c:sideWall>
    <c:backWall>
      <c:thickness val="0"/>
    </c:backWall>
    <c:plotArea>
      <c:layout>
        <c:manualLayout>
          <c:layoutTarget val="inner"/>
          <c:xMode val="edge"/>
          <c:yMode val="edge"/>
          <c:x val="0"/>
          <c:y val="0.19390027344908245"/>
          <c:w val="0.99485575061314058"/>
          <c:h val="0.63317299772674862"/>
        </c:manualLayout>
      </c:layout>
      <c:bar3DChart>
        <c:barDir val="col"/>
        <c:grouping val="clustered"/>
        <c:varyColors val="0"/>
        <c:ser>
          <c:idx val="0"/>
          <c:order val="0"/>
          <c:tx>
            <c:strRef>
              <c:f>Лист1!$B$1</c:f>
              <c:strCache>
                <c:ptCount val="1"/>
                <c:pt idx="0">
                  <c:v>Алеутский</c:v>
                </c:pt>
              </c:strCache>
            </c:strRef>
          </c:tx>
          <c:spPr>
            <a:blipFill>
              <a:blip xmlns:r="http://schemas.openxmlformats.org/officeDocument/2006/relationships" r:embed="rId1"/>
              <a:tile tx="0" ty="0" sx="100000" sy="100000" flip="none" algn="tl"/>
            </a:blipFill>
            <a:scene3d>
              <a:camera prst="orthographicFront"/>
              <a:lightRig rig="threePt" dir="t"/>
            </a:scene3d>
            <a:sp3d prstMaterial="dkEdge"/>
          </c:spPr>
          <c:invertIfNegative val="0"/>
          <c:dLbls>
            <c:dLbl>
              <c:idx val="2"/>
              <c:layout>
                <c:manualLayout>
                  <c:x val="2.0491803278688523E-2"/>
                  <c:y val="0"/>
                </c:manualLayout>
              </c:layout>
              <c:showLegendKey val="0"/>
              <c:showVal val="1"/>
              <c:showCatName val="0"/>
              <c:showSerName val="0"/>
              <c:showPercent val="0"/>
              <c:showBubbleSize val="0"/>
            </c:dLbl>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Лист1!$B$2:$B$4</c:f>
              <c:numCache>
                <c:formatCode>0.00;[Red]0.00</c:formatCode>
                <c:ptCount val="3"/>
                <c:pt idx="0">
                  <c:v>0.65</c:v>
                </c:pt>
                <c:pt idx="1">
                  <c:v>1</c:v>
                </c:pt>
                <c:pt idx="2">
                  <c:v>0</c:v>
                </c:pt>
              </c:numCache>
            </c:numRef>
          </c:val>
        </c:ser>
        <c:ser>
          <c:idx val="1"/>
          <c:order val="1"/>
          <c:tx>
            <c:strRef>
              <c:f>Лист1!$C$1</c:f>
              <c:strCache>
                <c:ptCount val="1"/>
                <c:pt idx="0">
                  <c:v>Быстринский</c:v>
                </c:pt>
              </c:strCache>
            </c:strRef>
          </c:tx>
          <c:spPr>
            <a:blipFill>
              <a:blip xmlns:r="http://schemas.openxmlformats.org/officeDocument/2006/relationships" r:embed="rId2"/>
              <a:tile tx="0" ty="0" sx="100000" sy="100000" flip="none" algn="tl"/>
            </a:blipFill>
          </c:spPr>
          <c:invertIfNegative val="0"/>
          <c:dLbls>
            <c:dLbl>
              <c:idx val="2"/>
              <c:layout>
                <c:manualLayout>
                  <c:x val="-2.7322404371584699E-2"/>
                  <c:y val="4.1841004184100415E-3"/>
                </c:manualLayout>
              </c:layout>
              <c:showLegendKey val="0"/>
              <c:showVal val="1"/>
              <c:showCatName val="0"/>
              <c:showSerName val="0"/>
              <c:showPercent val="0"/>
              <c:showBubbleSize val="0"/>
            </c:dLbl>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Лист1!$C$2:$C$4</c:f>
              <c:numCache>
                <c:formatCode>0.00;[Red]0.00</c:formatCode>
                <c:ptCount val="3"/>
                <c:pt idx="0">
                  <c:v>0.65</c:v>
                </c:pt>
                <c:pt idx="1">
                  <c:v>1</c:v>
                </c:pt>
                <c:pt idx="2">
                  <c:v>0</c:v>
                </c:pt>
              </c:numCache>
            </c:numRef>
          </c:val>
        </c:ser>
        <c:ser>
          <c:idx val="2"/>
          <c:order val="2"/>
          <c:tx>
            <c:strRef>
              <c:f>Лист1!$D$1</c:f>
              <c:strCache>
                <c:ptCount val="1"/>
                <c:pt idx="0">
                  <c:v>Елизовский</c:v>
                </c:pt>
              </c:strCache>
            </c:strRef>
          </c:tx>
          <c:spPr>
            <a:blipFill>
              <a:blip xmlns:r="http://schemas.openxmlformats.org/officeDocument/2006/relationships" r:embed="rId3"/>
              <a:tile tx="0" ty="0" sx="100000" sy="100000" flip="none" algn="tl"/>
            </a:blipFill>
          </c:spPr>
          <c:invertIfNegative val="0"/>
          <c:dLbls>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Лист1!$D$2:$D$4</c:f>
              <c:numCache>
                <c:formatCode>0.00;[Red]0.00</c:formatCode>
                <c:ptCount val="3"/>
                <c:pt idx="0">
                  <c:v>0.25</c:v>
                </c:pt>
                <c:pt idx="1">
                  <c:v>0</c:v>
                </c:pt>
                <c:pt idx="2">
                  <c:v>0</c:v>
                </c:pt>
              </c:numCache>
            </c:numRef>
          </c:val>
        </c:ser>
        <c:ser>
          <c:idx val="3"/>
          <c:order val="3"/>
          <c:tx>
            <c:strRef>
              <c:f>Лист1!$E$1</c:f>
              <c:strCache>
                <c:ptCount val="1"/>
                <c:pt idx="0">
                  <c:v>Мильковский</c:v>
                </c:pt>
              </c:strCache>
            </c:strRef>
          </c:tx>
          <c:invertIfNegative val="0"/>
          <c:dLbls>
            <c:dLbl>
              <c:idx val="0"/>
              <c:layout>
                <c:manualLayout>
                  <c:x val="1.092896174863388E-2"/>
                  <c:y val="-2.0920502092050207E-3"/>
                </c:manualLayout>
              </c:layout>
              <c:showLegendKey val="0"/>
              <c:showVal val="1"/>
              <c:showCatName val="0"/>
              <c:showSerName val="0"/>
              <c:showPercent val="0"/>
              <c:showBubbleSize val="0"/>
            </c:dLbl>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Лист1!$E$2:$E$4</c:f>
              <c:numCache>
                <c:formatCode>0.00;[Red]0.00</c:formatCode>
                <c:ptCount val="3"/>
                <c:pt idx="0">
                  <c:v>0.65</c:v>
                </c:pt>
                <c:pt idx="1">
                  <c:v>1</c:v>
                </c:pt>
                <c:pt idx="2">
                  <c:v>0</c:v>
                </c:pt>
              </c:numCache>
            </c:numRef>
          </c:val>
        </c:ser>
        <c:ser>
          <c:idx val="4"/>
          <c:order val="4"/>
          <c:tx>
            <c:strRef>
              <c:f>Лист1!$F$1</c:f>
              <c:strCache>
                <c:ptCount val="1"/>
                <c:pt idx="0">
                  <c:v>Соболевский</c:v>
                </c:pt>
              </c:strCache>
            </c:strRef>
          </c:tx>
          <c:invertIfNegative val="0"/>
          <c:dLbls>
            <c:dLbl>
              <c:idx val="0"/>
              <c:layout>
                <c:manualLayout>
                  <c:x val="-2.7322404371584699E-3"/>
                  <c:y val="2.0920502092050208E-2"/>
                </c:manualLayout>
              </c:layout>
              <c:showLegendKey val="0"/>
              <c:showVal val="1"/>
              <c:showCatName val="0"/>
              <c:showSerName val="0"/>
              <c:showPercent val="0"/>
              <c:showBubbleSize val="0"/>
            </c:dLbl>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Лист1!$F$2:$F$4</c:f>
              <c:numCache>
                <c:formatCode>0.00;[Red]0.00</c:formatCode>
                <c:ptCount val="3"/>
                <c:pt idx="0">
                  <c:v>0.65</c:v>
                </c:pt>
                <c:pt idx="1">
                  <c:v>1</c:v>
                </c:pt>
                <c:pt idx="2">
                  <c:v>0</c:v>
                </c:pt>
              </c:numCache>
            </c:numRef>
          </c:val>
        </c:ser>
        <c:ser>
          <c:idx val="5"/>
          <c:order val="5"/>
          <c:tx>
            <c:strRef>
              <c:f>Лист1!$G$1</c:f>
              <c:strCache>
                <c:ptCount val="1"/>
                <c:pt idx="0">
                  <c:v>Усть-Большерецкий</c:v>
                </c:pt>
              </c:strCache>
            </c:strRef>
          </c:tx>
          <c:invertIfNegative val="0"/>
          <c:dLbls>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Лист1!$G$2:$G$4</c:f>
              <c:numCache>
                <c:formatCode>0.00;[Red]0.00</c:formatCode>
                <c:ptCount val="3"/>
                <c:pt idx="0">
                  <c:v>0.21</c:v>
                </c:pt>
                <c:pt idx="1">
                  <c:v>1</c:v>
                </c:pt>
                <c:pt idx="2">
                  <c:v>0</c:v>
                </c:pt>
              </c:numCache>
            </c:numRef>
          </c:val>
        </c:ser>
        <c:ser>
          <c:idx val="6"/>
          <c:order val="6"/>
          <c:tx>
            <c:strRef>
              <c:f>Лист1!$H$1</c:f>
              <c:strCache>
                <c:ptCount val="1"/>
                <c:pt idx="0">
                  <c:v>Усть-Камчатский</c:v>
                </c:pt>
              </c:strCache>
            </c:strRef>
          </c:tx>
          <c:invertIfNegative val="0"/>
          <c:dLbls>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Лист1!$H$2:$H$4</c:f>
              <c:numCache>
                <c:formatCode>0.00;[Red]0.00</c:formatCode>
                <c:ptCount val="3"/>
                <c:pt idx="0">
                  <c:v>0.65</c:v>
                </c:pt>
                <c:pt idx="1">
                  <c:v>1</c:v>
                </c:pt>
                <c:pt idx="2">
                  <c:v>0</c:v>
                </c:pt>
              </c:numCache>
            </c:numRef>
          </c:val>
        </c:ser>
        <c:ser>
          <c:idx val="7"/>
          <c:order val="7"/>
          <c:tx>
            <c:strRef>
              <c:f>Лист1!$I$1</c:f>
              <c:strCache>
                <c:ptCount val="1"/>
                <c:pt idx="0">
                  <c:v>Карагинский</c:v>
                </c:pt>
              </c:strCache>
            </c:strRef>
          </c:tx>
          <c:invertIfNegative val="0"/>
          <c:dLbls>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Лист1!$I$2:$I$4</c:f>
              <c:numCache>
                <c:formatCode>0.00;[Red]0.00</c:formatCode>
                <c:ptCount val="3"/>
                <c:pt idx="0">
                  <c:v>0.65</c:v>
                </c:pt>
                <c:pt idx="1">
                  <c:v>1</c:v>
                </c:pt>
                <c:pt idx="2">
                  <c:v>0</c:v>
                </c:pt>
              </c:numCache>
            </c:numRef>
          </c:val>
        </c:ser>
        <c:ser>
          <c:idx val="8"/>
          <c:order val="8"/>
          <c:tx>
            <c:strRef>
              <c:f>Лист1!$J$1</c:f>
              <c:strCache>
                <c:ptCount val="1"/>
                <c:pt idx="0">
                  <c:v>Олюторский</c:v>
                </c:pt>
              </c:strCache>
            </c:strRef>
          </c:tx>
          <c:invertIfNegative val="0"/>
          <c:dLbls>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Лист1!$J$2:$J$4</c:f>
              <c:numCache>
                <c:formatCode>0.00;[Red]0.00</c:formatCode>
                <c:ptCount val="3"/>
                <c:pt idx="0">
                  <c:v>1</c:v>
                </c:pt>
                <c:pt idx="1">
                  <c:v>1</c:v>
                </c:pt>
                <c:pt idx="2">
                  <c:v>0</c:v>
                </c:pt>
              </c:numCache>
            </c:numRef>
          </c:val>
        </c:ser>
        <c:ser>
          <c:idx val="9"/>
          <c:order val="9"/>
          <c:tx>
            <c:strRef>
              <c:f>Лист1!$K$1</c:f>
              <c:strCache>
                <c:ptCount val="1"/>
                <c:pt idx="0">
                  <c:v>Пенжинский</c:v>
                </c:pt>
              </c:strCache>
            </c:strRef>
          </c:tx>
          <c:invertIfNegative val="0"/>
          <c:dLbls>
            <c:dLbl>
              <c:idx val="0"/>
              <c:layout>
                <c:manualLayout>
                  <c:x val="2.1367521367520975E-3"/>
                  <c:y val="0"/>
                </c:manualLayout>
              </c:layout>
              <c:showLegendKey val="0"/>
              <c:showVal val="1"/>
              <c:showCatName val="0"/>
              <c:showSerName val="0"/>
              <c:showPercent val="0"/>
              <c:showBubbleSize val="0"/>
            </c:dLbl>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Лист1!$K$2:$K$4</c:f>
              <c:numCache>
                <c:formatCode>0.00;[Red]0.00</c:formatCode>
                <c:ptCount val="3"/>
                <c:pt idx="0">
                  <c:v>0.65</c:v>
                </c:pt>
                <c:pt idx="1">
                  <c:v>1</c:v>
                </c:pt>
                <c:pt idx="2">
                  <c:v>0</c:v>
                </c:pt>
              </c:numCache>
            </c:numRef>
          </c:val>
        </c:ser>
        <c:ser>
          <c:idx val="10"/>
          <c:order val="10"/>
          <c:tx>
            <c:strRef>
              <c:f>Лист1!$L$1</c:f>
              <c:strCache>
                <c:ptCount val="1"/>
                <c:pt idx="0">
                  <c:v>Тигильский</c:v>
                </c:pt>
              </c:strCache>
            </c:strRef>
          </c:tx>
          <c:invertIfNegative val="0"/>
          <c:dLbls>
            <c:dLbl>
              <c:idx val="0"/>
              <c:layout>
                <c:manualLayout>
                  <c:x val="1.282051282051282E-2"/>
                  <c:y val="0"/>
                </c:manualLayout>
              </c:layout>
              <c:showLegendKey val="0"/>
              <c:showVal val="1"/>
              <c:showCatName val="0"/>
              <c:showSerName val="0"/>
              <c:showPercent val="0"/>
              <c:showBubbleSize val="0"/>
            </c:dLbl>
            <c:spPr>
              <a:gradFill>
                <a:gsLst>
                  <a:gs pos="0">
                    <a:srgbClr val="7030A0"/>
                  </a:gs>
                  <a:gs pos="50000">
                    <a:schemeClr val="accent1">
                      <a:tint val="44500"/>
                      <a:satMod val="160000"/>
                    </a:schemeClr>
                  </a:gs>
                  <a:gs pos="100000">
                    <a:schemeClr val="accent1">
                      <a:tint val="23500"/>
                      <a:satMod val="160000"/>
                    </a:schemeClr>
                  </a:gs>
                </a:gsLst>
                <a:lin ang="5400000" scaled="0"/>
              </a:gradFill>
            </c:spPr>
            <c:txPr>
              <a:bodyPr rot="-5400000" vert="horz"/>
              <a:lstStyle/>
              <a:p>
                <a:pPr>
                  <a:defRPr sz="100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Лист1!$L$2:$L$4</c:f>
              <c:numCache>
                <c:formatCode>0.00;[Red]0.00</c:formatCode>
                <c:ptCount val="3"/>
                <c:pt idx="0">
                  <c:v>0.65</c:v>
                </c:pt>
                <c:pt idx="1">
                  <c:v>1</c:v>
                </c:pt>
                <c:pt idx="2">
                  <c:v>0</c:v>
                </c:pt>
              </c:numCache>
            </c:numRef>
          </c:val>
        </c:ser>
        <c:dLbls>
          <c:showLegendKey val="0"/>
          <c:showVal val="0"/>
          <c:showCatName val="0"/>
          <c:showSerName val="0"/>
          <c:showPercent val="0"/>
          <c:showBubbleSize val="0"/>
        </c:dLbls>
        <c:gapWidth val="112"/>
        <c:gapDepth val="206"/>
        <c:shape val="cylinder"/>
        <c:axId val="182384128"/>
        <c:axId val="182385664"/>
        <c:axId val="0"/>
      </c:bar3DChart>
      <c:catAx>
        <c:axId val="182384128"/>
        <c:scaling>
          <c:orientation val="minMax"/>
        </c:scaling>
        <c:delete val="0"/>
        <c:axPos val="b"/>
        <c:majorGridlines/>
        <c:minorGridlines/>
        <c:numFmt formatCode="General" sourceLinked="1"/>
        <c:majorTickMark val="out"/>
        <c:minorTickMark val="none"/>
        <c:tickLblPos val="nextTo"/>
        <c:txPr>
          <a:bodyPr/>
          <a:lstStyle/>
          <a:p>
            <a:pPr>
              <a:defRPr sz="1000" baseline="0"/>
            </a:pPr>
            <a:endParaRPr lang="ru-RU"/>
          </a:p>
        </c:txPr>
        <c:crossAx val="182385664"/>
        <c:crossesAt val="0"/>
        <c:auto val="0"/>
        <c:lblAlgn val="ctr"/>
        <c:lblOffset val="100"/>
        <c:noMultiLvlLbl val="1"/>
      </c:catAx>
      <c:valAx>
        <c:axId val="182385664"/>
        <c:scaling>
          <c:orientation val="minMax"/>
        </c:scaling>
        <c:delete val="1"/>
        <c:axPos val="l"/>
        <c:minorGridlines/>
        <c:numFmt formatCode="#,##0.00" sourceLinked="0"/>
        <c:majorTickMark val="out"/>
        <c:minorTickMark val="none"/>
        <c:tickLblPos val="nextTo"/>
        <c:crossAx val="182384128"/>
        <c:crossesAt val="0"/>
        <c:crossBetween val="between"/>
        <c:majorUnit val="1"/>
      </c:valAx>
    </c:plotArea>
    <c:legend>
      <c:legendPos val="t"/>
      <c:layout>
        <c:manualLayout>
          <c:xMode val="edge"/>
          <c:yMode val="edge"/>
          <c:x val="4.9999994622951113E-2"/>
          <c:y val="1.2549018574523714E-2"/>
          <c:w val="0.92913687018630864"/>
          <c:h val="0.15586597700392055"/>
        </c:manualLayout>
      </c:layout>
      <c:overlay val="0"/>
      <c:txPr>
        <a:bodyPr/>
        <a:lstStyle/>
        <a:p>
          <a:pPr rtl="0">
            <a:defRPr sz="1000" baseline="0"/>
          </a:pPr>
          <a:endParaRPr lang="ru-RU"/>
        </a:p>
      </c:txPr>
    </c:legend>
    <c:plotVisOnly val="1"/>
    <c:dispBlanksAs val="gap"/>
    <c:showDLblsOverMax val="0"/>
  </c:chart>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90"/>
      <c:rotY val="12"/>
      <c:rAngAx val="1"/>
    </c:view3D>
    <c:floor>
      <c:thickness val="0"/>
      <c:spPr>
        <a:solidFill>
          <a:schemeClr val="accent6">
            <a:lumMod val="60000"/>
            <a:lumOff val="40000"/>
            <a:alpha val="43000"/>
          </a:schemeClr>
        </a:solidFill>
      </c:spPr>
    </c:floor>
    <c:sideWall>
      <c:thickness val="0"/>
    </c:sideWall>
    <c:backWall>
      <c:thickness val="0"/>
    </c:backWall>
    <c:plotArea>
      <c:layout>
        <c:manualLayout>
          <c:layoutTarget val="inner"/>
          <c:xMode val="edge"/>
          <c:yMode val="edge"/>
          <c:x val="7.3900009044196224E-3"/>
          <c:y val="0.1081256048067023"/>
          <c:w val="0.9814471380711085"/>
          <c:h val="0.7061644647975488"/>
        </c:manualLayout>
      </c:layout>
      <c:bar3DChart>
        <c:barDir val="col"/>
        <c:grouping val="clustered"/>
        <c:varyColors val="0"/>
        <c:ser>
          <c:idx val="0"/>
          <c:order val="0"/>
          <c:tx>
            <c:strRef>
              <c:f>Лист1!$B$1</c:f>
              <c:strCache>
                <c:ptCount val="1"/>
                <c:pt idx="0">
                  <c:v>Петропавловск-Камчатский</c:v>
                </c:pt>
              </c:strCache>
            </c:strRef>
          </c:tx>
          <c:spPr>
            <a:blipFill>
              <a:blip xmlns:r="http://schemas.openxmlformats.org/officeDocument/2006/relationships" r:embed="rId1"/>
              <a:tile tx="0" ty="0" sx="100000" sy="100000" flip="none" algn="tl"/>
            </a:blipFill>
            <a:scene3d>
              <a:camera prst="orthographicFront"/>
              <a:lightRig rig="threePt" dir="t"/>
            </a:scene3d>
            <a:sp3d prstMaterial="dkEdge"/>
          </c:spPr>
          <c:invertIfNegative val="0"/>
          <c:dLbls>
            <c:dLbl>
              <c:idx val="0"/>
              <c:layout>
                <c:manualLayout>
                  <c:x val="0"/>
                  <c:y val="-6.3760052106508799E-2"/>
                </c:manualLayout>
              </c:layout>
              <c:showLegendKey val="0"/>
              <c:showVal val="1"/>
              <c:showCatName val="0"/>
              <c:showSerName val="0"/>
              <c:showPercent val="0"/>
              <c:showBubbleSize val="0"/>
            </c:dLbl>
            <c:dLbl>
              <c:idx val="1"/>
              <c:layout>
                <c:manualLayout>
                  <c:x val="1.3657704165739573E-3"/>
                  <c:y val="6.9019602159880428E-2"/>
                </c:manualLayout>
              </c:layout>
              <c:showLegendKey val="0"/>
              <c:showVal val="1"/>
              <c:showCatName val="0"/>
              <c:showSerName val="0"/>
              <c:showPercent val="0"/>
              <c:showBubbleSize val="0"/>
            </c:dLbl>
            <c:dLbl>
              <c:idx val="2"/>
              <c:layout>
                <c:manualLayout>
                  <c:x val="5.4630816662958291E-3"/>
                  <c:y val="7.9477117638650188E-2"/>
                </c:manualLayout>
              </c:layout>
              <c:showLegendKey val="0"/>
              <c:showVal val="1"/>
              <c:showCatName val="0"/>
              <c:showSerName val="0"/>
              <c:showPercent val="0"/>
              <c:showBubbleSize val="0"/>
            </c:dLbl>
            <c:dLbl>
              <c:idx val="3"/>
              <c:layout>
                <c:manualLayout>
                  <c:x val="0"/>
                  <c:y val="0.10457515478769762"/>
                </c:manualLayout>
              </c:layout>
              <c:showLegendKey val="0"/>
              <c:showVal val="1"/>
              <c:showCatName val="0"/>
              <c:showSerName val="0"/>
              <c:showPercent val="0"/>
              <c:showBubbleSize val="0"/>
            </c:dLbl>
            <c:dLbl>
              <c:idx val="4"/>
              <c:layout>
                <c:manualLayout>
                  <c:x val="0"/>
                  <c:y val="9.2026136213173904E-2"/>
                </c:manualLayout>
              </c:layout>
              <c:showLegendKey val="0"/>
              <c:showVal val="1"/>
              <c:showCatName val="0"/>
              <c:showSerName val="0"/>
              <c:showPercent val="0"/>
              <c:showBubbleSize val="0"/>
            </c:dLbl>
            <c:dLbl>
              <c:idx val="5"/>
              <c:layout>
                <c:manualLayout>
                  <c:x val="0"/>
                  <c:y val="9.620914240468173E-2"/>
                </c:manualLayout>
              </c:layout>
              <c:showLegendKey val="0"/>
              <c:showVal val="1"/>
              <c:showCatName val="0"/>
              <c:showSerName val="0"/>
              <c:showPercent val="0"/>
              <c:showBubbleSize val="0"/>
            </c:dLbl>
            <c:dLbl>
              <c:idx val="6"/>
              <c:layout>
                <c:manualLayout>
                  <c:x val="0"/>
                  <c:y val="0.12549018574523713"/>
                </c:manualLayout>
              </c:layout>
              <c:showLegendKey val="0"/>
              <c:showVal val="1"/>
              <c:showCatName val="0"/>
              <c:showSerName val="0"/>
              <c:showPercent val="0"/>
              <c:showBubbleSize val="0"/>
            </c:dLbl>
            <c:dLbl>
              <c:idx val="7"/>
              <c:layout>
                <c:manualLayout>
                  <c:x val="4.0973112497218718E-3"/>
                  <c:y val="0.1505882228942845"/>
                </c:manualLayout>
              </c:layout>
              <c:showLegendKey val="0"/>
              <c:showVal val="1"/>
              <c:showCatName val="0"/>
              <c:showSerName val="0"/>
              <c:showPercent val="0"/>
              <c:showBubbleSize val="0"/>
            </c:dLbl>
            <c:dLbl>
              <c:idx val="8"/>
              <c:layout>
                <c:manualLayout>
                  <c:x val="4.0973112497218718E-3"/>
                  <c:y val="0.14849671979853069"/>
                </c:manualLayout>
              </c:layout>
              <c:showLegendKey val="0"/>
              <c:showVal val="1"/>
              <c:showCatName val="0"/>
              <c:showSerName val="0"/>
              <c:showPercent val="0"/>
              <c:showBubbleSize val="0"/>
            </c:dLbl>
            <c:dLbl>
              <c:idx val="9"/>
              <c:layout>
                <c:manualLayout>
                  <c:x val="0"/>
                  <c:y val="0.13176469503249899"/>
                </c:manualLayout>
              </c:layout>
              <c:showLegendKey val="0"/>
              <c:showVal val="1"/>
              <c:showCatName val="0"/>
              <c:showSerName val="0"/>
              <c:showPercent val="0"/>
              <c:showBubbleSize val="0"/>
            </c:dLbl>
            <c:dLbl>
              <c:idx val="10"/>
              <c:layout>
                <c:manualLayout>
                  <c:x val="1.3657704165739573E-3"/>
                  <c:y val="0.1171241733622214"/>
                </c:manualLayout>
              </c:layout>
              <c:showLegendKey val="0"/>
              <c:showVal val="1"/>
              <c:showCatName val="0"/>
              <c:showSerName val="0"/>
              <c:showPercent val="0"/>
              <c:showBubbleSize val="0"/>
            </c:dLbl>
            <c:spPr>
              <a:solidFill>
                <a:schemeClr val="accent6">
                  <a:lumMod val="40000"/>
                  <a:lumOff val="60000"/>
                  <a:alpha val="50000"/>
                </a:schemeClr>
              </a:solidFill>
              <a:ln>
                <a:solidFill>
                  <a:schemeClr val="tx1">
                    <a:alpha val="50000"/>
                  </a:schemeClr>
                </a:solidFill>
              </a:ln>
            </c:spPr>
            <c:txPr>
              <a:bodyPr rot="-5400000" vert="horz"/>
              <a:lstStyle/>
              <a:p>
                <a:pPr>
                  <a:defRPr sz="105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Лист1!$B$2:$B$4</c:f>
              <c:numCache>
                <c:formatCode>0.00;[Red]0.00</c:formatCode>
                <c:ptCount val="3"/>
                <c:pt idx="0">
                  <c:v>0</c:v>
                </c:pt>
                <c:pt idx="1">
                  <c:v>0.6</c:v>
                </c:pt>
                <c:pt idx="2">
                  <c:v>0.7</c:v>
                </c:pt>
              </c:numCache>
            </c:numRef>
          </c:val>
        </c:ser>
        <c:ser>
          <c:idx val="1"/>
          <c:order val="1"/>
          <c:tx>
            <c:strRef>
              <c:f>Лист1!$C$1</c:f>
              <c:strCache>
                <c:ptCount val="1"/>
                <c:pt idx="0">
                  <c:v>Вилючинский</c:v>
                </c:pt>
              </c:strCache>
            </c:strRef>
          </c:tx>
          <c:spPr>
            <a:blipFill>
              <a:blip xmlns:r="http://schemas.openxmlformats.org/officeDocument/2006/relationships" r:embed="rId2"/>
              <a:tile tx="0" ty="0" sx="100000" sy="100000" flip="none" algn="tl"/>
            </a:blipFill>
          </c:spPr>
          <c:invertIfNegative val="0"/>
          <c:dLbls>
            <c:dLbl>
              <c:idx val="0"/>
              <c:layout>
                <c:manualLayout>
                  <c:x val="1.3657704165739573E-3"/>
                  <c:y val="7.9477117638650188E-2"/>
                </c:manualLayout>
              </c:layout>
              <c:showLegendKey val="0"/>
              <c:showVal val="1"/>
              <c:showCatName val="0"/>
              <c:showSerName val="0"/>
              <c:showPercent val="0"/>
              <c:showBubbleSize val="0"/>
            </c:dLbl>
            <c:dLbl>
              <c:idx val="1"/>
              <c:layout>
                <c:manualLayout>
                  <c:x val="4.0973112497218718E-3"/>
                  <c:y val="6.9019602159880428E-2"/>
                </c:manualLayout>
              </c:layout>
              <c:showLegendKey val="0"/>
              <c:showVal val="1"/>
              <c:showCatName val="0"/>
              <c:showSerName val="0"/>
              <c:showPercent val="0"/>
              <c:showBubbleSize val="0"/>
            </c:dLbl>
            <c:dLbl>
              <c:idx val="2"/>
              <c:layout>
                <c:manualLayout>
                  <c:x val="9.5614431392797208E-3"/>
                  <c:y val="-2.5124534642374723E-2"/>
                </c:manualLayout>
              </c:layout>
              <c:showLegendKey val="0"/>
              <c:showVal val="1"/>
              <c:showCatName val="0"/>
              <c:showSerName val="0"/>
              <c:showPercent val="0"/>
              <c:showBubbleSize val="0"/>
            </c:dLbl>
            <c:dLbl>
              <c:idx val="3"/>
              <c:layout>
                <c:manualLayout>
                  <c:x val="1.3657704165739573E-3"/>
                  <c:y val="8.3660123830158098E-2"/>
                </c:manualLayout>
              </c:layout>
              <c:showLegendKey val="0"/>
              <c:showVal val="1"/>
              <c:showCatName val="0"/>
              <c:showSerName val="0"/>
              <c:showPercent val="0"/>
              <c:showBubbleSize val="0"/>
            </c:dLbl>
            <c:dLbl>
              <c:idx val="4"/>
              <c:layout>
                <c:manualLayout>
                  <c:x val="4.0973112497218224E-3"/>
                  <c:y val="8.9934633117419949E-2"/>
                </c:manualLayout>
              </c:layout>
              <c:showLegendKey val="0"/>
              <c:showVal val="1"/>
              <c:showCatName val="0"/>
              <c:showSerName val="0"/>
              <c:showPercent val="0"/>
              <c:showBubbleSize val="0"/>
            </c:dLbl>
            <c:dLbl>
              <c:idx val="5"/>
              <c:layout>
                <c:manualLayout>
                  <c:x val="1.3657704165739573E-3"/>
                  <c:y val="3.1372546436309282E-2"/>
                </c:manualLayout>
              </c:layout>
              <c:showLegendKey val="0"/>
              <c:showVal val="1"/>
              <c:showCatName val="0"/>
              <c:showSerName val="0"/>
              <c:showPercent val="0"/>
              <c:showBubbleSize val="0"/>
            </c:dLbl>
            <c:dLbl>
              <c:idx val="6"/>
              <c:layout>
                <c:manualLayout>
                  <c:x val="2.7315408331479146E-3"/>
                  <c:y val="3.1372381751026156E-2"/>
                </c:manualLayout>
              </c:layout>
              <c:showLegendKey val="0"/>
              <c:showVal val="1"/>
              <c:showCatName val="0"/>
              <c:showSerName val="0"/>
              <c:showPercent val="0"/>
              <c:showBubbleSize val="0"/>
            </c:dLbl>
            <c:dLbl>
              <c:idx val="7"/>
              <c:layout>
                <c:manualLayout>
                  <c:x val="2.7315408331479146E-3"/>
                  <c:y val="6.6928099064126473E-2"/>
                </c:manualLayout>
              </c:layout>
              <c:showLegendKey val="0"/>
              <c:showVal val="1"/>
              <c:showCatName val="0"/>
              <c:showSerName val="0"/>
              <c:showPercent val="0"/>
              <c:showBubbleSize val="0"/>
            </c:dLbl>
            <c:dLbl>
              <c:idx val="8"/>
              <c:layout>
                <c:manualLayout>
                  <c:x val="6.828852082869887E-3"/>
                  <c:y val="5.4378915804319632E-2"/>
                </c:manualLayout>
              </c:layout>
              <c:showLegendKey val="0"/>
              <c:showVal val="1"/>
              <c:showCatName val="0"/>
              <c:showSerName val="0"/>
              <c:showPercent val="0"/>
              <c:showBubbleSize val="0"/>
            </c:dLbl>
            <c:dLbl>
              <c:idx val="9"/>
              <c:layout>
                <c:manualLayout>
                  <c:x val="4.0973112497218718E-3"/>
                  <c:y val="8.5751626925912039E-2"/>
                </c:manualLayout>
              </c:layout>
              <c:showLegendKey val="0"/>
              <c:showVal val="1"/>
              <c:showCatName val="0"/>
              <c:showSerName val="0"/>
              <c:showPercent val="0"/>
              <c:showBubbleSize val="0"/>
            </c:dLbl>
            <c:dLbl>
              <c:idx val="10"/>
              <c:layout>
                <c:manualLayout>
                  <c:x val="5.4630816662958291E-3"/>
                  <c:y val="8.9934633117419949E-2"/>
                </c:manualLayout>
              </c:layout>
              <c:showLegendKey val="0"/>
              <c:showVal val="1"/>
              <c:showCatName val="0"/>
              <c:showSerName val="0"/>
              <c:showPercent val="0"/>
              <c:showBubbleSize val="0"/>
            </c:dLbl>
            <c:spPr>
              <a:solidFill>
                <a:schemeClr val="accent6">
                  <a:lumMod val="40000"/>
                  <a:lumOff val="60000"/>
                  <a:alpha val="50000"/>
                </a:schemeClr>
              </a:solidFill>
              <a:ln cap="sq">
                <a:solidFill>
                  <a:schemeClr val="tx1">
                    <a:alpha val="50000"/>
                  </a:schemeClr>
                </a:solidFill>
                <a:miter lim="800000"/>
              </a:ln>
            </c:spPr>
            <c:txPr>
              <a:bodyPr rot="-5400000" vert="horz"/>
              <a:lstStyle/>
              <a:p>
                <a:pPr>
                  <a:defRPr sz="105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Лист1!$C$2:$C$4</c:f>
              <c:numCache>
                <c:formatCode>0.00;[Red]0.00</c:formatCode>
                <c:ptCount val="3"/>
                <c:pt idx="0">
                  <c:v>1</c:v>
                </c:pt>
                <c:pt idx="1">
                  <c:v>0.4</c:v>
                </c:pt>
                <c:pt idx="2">
                  <c:v>0</c:v>
                </c:pt>
              </c:numCache>
            </c:numRef>
          </c:val>
        </c:ser>
        <c:ser>
          <c:idx val="2"/>
          <c:order val="2"/>
          <c:tx>
            <c:strRef>
              <c:f>Лист1!$D$1</c:f>
              <c:strCache>
                <c:ptCount val="1"/>
                <c:pt idx="0">
                  <c:v>п. Палана</c:v>
                </c:pt>
              </c:strCache>
            </c:strRef>
          </c:tx>
          <c:spPr>
            <a:blipFill>
              <a:blip xmlns:r="http://schemas.openxmlformats.org/officeDocument/2006/relationships" r:embed="rId3"/>
              <a:tile tx="0" ty="0" sx="100000" sy="100000" flip="none" algn="tl"/>
            </a:blipFill>
          </c:spPr>
          <c:invertIfNegative val="0"/>
          <c:dLbls>
            <c:dLbl>
              <c:idx val="0"/>
              <c:layout>
                <c:manualLayout>
                  <c:x val="7.0048455481526344E-3"/>
                  <c:y val="-7.1219021455241921E-2"/>
                </c:manualLayout>
              </c:layout>
              <c:showLegendKey val="0"/>
              <c:showVal val="1"/>
              <c:showCatName val="0"/>
              <c:showSerName val="0"/>
              <c:showPercent val="0"/>
              <c:showBubbleSize val="0"/>
            </c:dLbl>
            <c:dLbl>
              <c:idx val="1"/>
              <c:layout>
                <c:manualLayout>
                  <c:x val="6.8288520828697873E-3"/>
                  <c:y val="-3.5555552627817191E-2"/>
                </c:manualLayout>
              </c:layout>
              <c:showLegendKey val="0"/>
              <c:showVal val="1"/>
              <c:showCatName val="0"/>
              <c:showSerName val="0"/>
              <c:showPercent val="0"/>
              <c:showBubbleSize val="0"/>
            </c:dLbl>
            <c:dLbl>
              <c:idx val="2"/>
              <c:layout>
                <c:manualLayout>
                  <c:x val="1.2291876976916347E-2"/>
                  <c:y val="1.6860582844834812E-2"/>
                </c:manualLayout>
              </c:layout>
              <c:showLegendKey val="0"/>
              <c:showVal val="1"/>
              <c:showCatName val="0"/>
              <c:showSerName val="0"/>
              <c:showPercent val="0"/>
              <c:showBubbleSize val="0"/>
            </c:dLbl>
            <c:dLbl>
              <c:idx val="3"/>
              <c:layout>
                <c:manualLayout>
                  <c:x val="1.5023474582313531E-2"/>
                  <c:y val="-3.1372546436309282E-2"/>
                </c:manualLayout>
              </c:layout>
              <c:showLegendKey val="0"/>
              <c:showVal val="1"/>
              <c:showCatName val="0"/>
              <c:showSerName val="0"/>
              <c:showPercent val="0"/>
              <c:showBubbleSize val="0"/>
            </c:dLbl>
            <c:dLbl>
              <c:idx val="4"/>
              <c:layout>
                <c:manualLayout>
                  <c:x val="1.3657704165739575E-2"/>
                  <c:y val="-3.3464049532063236E-2"/>
                </c:manualLayout>
              </c:layout>
              <c:showLegendKey val="0"/>
              <c:showVal val="1"/>
              <c:showCatName val="0"/>
              <c:showSerName val="0"/>
              <c:showPercent val="0"/>
              <c:showBubbleSize val="0"/>
            </c:dLbl>
            <c:dLbl>
              <c:idx val="5"/>
              <c:layout>
                <c:manualLayout>
                  <c:x val="1.2291933749165616E-2"/>
                  <c:y val="-2.9281043340555334E-2"/>
                </c:manualLayout>
              </c:layout>
              <c:showLegendKey val="0"/>
              <c:showVal val="1"/>
              <c:showCatName val="0"/>
              <c:showSerName val="0"/>
              <c:showPercent val="0"/>
              <c:showBubbleSize val="0"/>
            </c:dLbl>
            <c:dLbl>
              <c:idx val="6"/>
              <c:layout>
                <c:manualLayout>
                  <c:x val="8.1946224994437437E-3"/>
                  <c:y val="-2.3006534053293476E-2"/>
                </c:manualLayout>
              </c:layout>
              <c:showLegendKey val="0"/>
              <c:showVal val="1"/>
              <c:showCatName val="0"/>
              <c:showSerName val="0"/>
              <c:showPercent val="0"/>
              <c:showBubbleSize val="0"/>
            </c:dLbl>
            <c:dLbl>
              <c:idx val="7"/>
              <c:layout>
                <c:manualLayout>
                  <c:x val="8.1946224994437437E-3"/>
                  <c:y val="-3.3464049532063236E-2"/>
                </c:manualLayout>
              </c:layout>
              <c:showLegendKey val="0"/>
              <c:showVal val="1"/>
              <c:showCatName val="0"/>
              <c:showSerName val="0"/>
              <c:showPercent val="0"/>
              <c:showBubbleSize val="0"/>
            </c:dLbl>
            <c:dLbl>
              <c:idx val="8"/>
              <c:layout>
                <c:manualLayout>
                  <c:x val="1.6389244998887487E-2"/>
                  <c:y val="-3.3464049532063236E-2"/>
                </c:manualLayout>
              </c:layout>
              <c:showLegendKey val="0"/>
              <c:showVal val="1"/>
              <c:showCatName val="0"/>
              <c:showSerName val="0"/>
              <c:showPercent val="0"/>
              <c:showBubbleSize val="0"/>
            </c:dLbl>
            <c:dLbl>
              <c:idx val="9"/>
              <c:layout>
                <c:manualLayout>
                  <c:x val="1.3657704165739575E-2"/>
                  <c:y val="-3.1372546436309282E-2"/>
                </c:manualLayout>
              </c:layout>
              <c:showLegendKey val="0"/>
              <c:showVal val="1"/>
              <c:showCatName val="0"/>
              <c:showSerName val="0"/>
              <c:showPercent val="0"/>
              <c:showBubbleSize val="0"/>
            </c:dLbl>
            <c:dLbl>
              <c:idx val="10"/>
              <c:layout>
                <c:manualLayout>
                  <c:x val="1.3657704165739575E-2"/>
                  <c:y val="-2.3006534053293476E-2"/>
                </c:manualLayout>
              </c:layout>
              <c:showLegendKey val="0"/>
              <c:showVal val="1"/>
              <c:showCatName val="0"/>
              <c:showSerName val="0"/>
              <c:showPercent val="0"/>
              <c:showBubbleSize val="0"/>
            </c:dLbl>
            <c:spPr>
              <a:solidFill>
                <a:schemeClr val="accent6">
                  <a:lumMod val="40000"/>
                  <a:lumOff val="60000"/>
                  <a:alpha val="49000"/>
                </a:schemeClr>
              </a:solidFill>
              <a:ln>
                <a:solidFill>
                  <a:schemeClr val="tx1">
                    <a:alpha val="50000"/>
                  </a:schemeClr>
                </a:solidFill>
              </a:ln>
            </c:spPr>
            <c:txPr>
              <a:bodyPr rot="-5400000" vert="horz"/>
              <a:lstStyle/>
              <a:p>
                <a:pPr>
                  <a:defRPr sz="1050" baseline="0"/>
                </a:pPr>
                <a:endParaRPr lang="ru-RU"/>
              </a:p>
            </c:txPr>
            <c:showLegendKey val="0"/>
            <c:showVal val="1"/>
            <c:showCatName val="0"/>
            <c:showSerName val="0"/>
            <c:showPercent val="0"/>
            <c:showBubbleSize val="0"/>
            <c:showLeaderLines val="0"/>
          </c:dLbls>
          <c:cat>
            <c:strRef>
              <c:f>Лист1!$A$2:$A$4</c:f>
              <c:strCache>
                <c:ptCount val="3"/>
                <c:pt idx="0">
                  <c:v>клубами и учреждениями клубного типа</c:v>
                </c:pt>
                <c:pt idx="1">
                  <c:v>библиотеками</c:v>
                </c:pt>
                <c:pt idx="2">
                  <c:v>парками культуры и отдыха</c:v>
                </c:pt>
              </c:strCache>
            </c:strRef>
          </c:cat>
          <c:val>
            <c:numRef>
              <c:f>Лист1!$D$2:$D$4</c:f>
              <c:numCache>
                <c:formatCode>0.00;[Red]0.00</c:formatCode>
                <c:ptCount val="3"/>
                <c:pt idx="0">
                  <c:v>0.52</c:v>
                </c:pt>
                <c:pt idx="1">
                  <c:v>0.09</c:v>
                </c:pt>
                <c:pt idx="2">
                  <c:v>1</c:v>
                </c:pt>
              </c:numCache>
            </c:numRef>
          </c:val>
        </c:ser>
        <c:dLbls>
          <c:showLegendKey val="0"/>
          <c:showVal val="0"/>
          <c:showCatName val="0"/>
          <c:showSerName val="0"/>
          <c:showPercent val="0"/>
          <c:showBubbleSize val="0"/>
        </c:dLbls>
        <c:gapWidth val="112"/>
        <c:gapDepth val="206"/>
        <c:shape val="cylinder"/>
        <c:axId val="182962432"/>
        <c:axId val="182996992"/>
        <c:axId val="0"/>
      </c:bar3DChart>
      <c:catAx>
        <c:axId val="182962432"/>
        <c:scaling>
          <c:orientation val="minMax"/>
        </c:scaling>
        <c:delete val="0"/>
        <c:axPos val="b"/>
        <c:majorGridlines/>
        <c:minorGridlines/>
        <c:numFmt formatCode="General" sourceLinked="1"/>
        <c:majorTickMark val="out"/>
        <c:minorTickMark val="none"/>
        <c:tickLblPos val="nextTo"/>
        <c:txPr>
          <a:bodyPr/>
          <a:lstStyle/>
          <a:p>
            <a:pPr>
              <a:defRPr sz="1000" baseline="0"/>
            </a:pPr>
            <a:endParaRPr lang="ru-RU"/>
          </a:p>
        </c:txPr>
        <c:crossAx val="182996992"/>
        <c:crossesAt val="0"/>
        <c:auto val="0"/>
        <c:lblAlgn val="ctr"/>
        <c:lblOffset val="100"/>
        <c:noMultiLvlLbl val="1"/>
      </c:catAx>
      <c:valAx>
        <c:axId val="182996992"/>
        <c:scaling>
          <c:orientation val="minMax"/>
        </c:scaling>
        <c:delete val="1"/>
        <c:axPos val="l"/>
        <c:majorGridlines>
          <c:spPr>
            <a:ln w="12700">
              <a:solidFill>
                <a:schemeClr val="tx2"/>
              </a:solidFill>
            </a:ln>
          </c:spPr>
        </c:majorGridlines>
        <c:numFmt formatCode="#,##0.00" sourceLinked="0"/>
        <c:majorTickMark val="out"/>
        <c:minorTickMark val="none"/>
        <c:tickLblPos val="nextTo"/>
        <c:crossAx val="182962432"/>
        <c:crossesAt val="0"/>
        <c:crossBetween val="between"/>
        <c:majorUnit val="1"/>
      </c:valAx>
    </c:plotArea>
    <c:legend>
      <c:legendPos val="t"/>
      <c:layout>
        <c:manualLayout>
          <c:xMode val="edge"/>
          <c:yMode val="edge"/>
          <c:x val="8.3225962628864791E-4"/>
          <c:y val="1.2549018574523714E-2"/>
          <c:w val="0.99916774037371137"/>
          <c:h val="0.1826606817838973"/>
        </c:manualLayout>
      </c:layout>
      <c:overlay val="0"/>
      <c:txPr>
        <a:bodyPr/>
        <a:lstStyle/>
        <a:p>
          <a:pPr rtl="0">
            <a:defRPr sz="1000" baseline="0"/>
          </a:pPr>
          <a:endParaRPr lang="ru-RU"/>
        </a:p>
      </c:txPr>
    </c:legend>
    <c:plotVisOnly val="1"/>
    <c:dispBlanksAs val="gap"/>
    <c:showDLblsOverMax val="0"/>
  </c:chart>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40"/>
      <c:rotY val="161"/>
      <c:rAngAx val="1"/>
    </c:view3D>
    <c:floor>
      <c:thickness val="0"/>
      <c:spPr>
        <a:blipFill>
          <a:blip xmlns:r="http://schemas.openxmlformats.org/officeDocument/2006/relationships" r:embed="rId1"/>
          <a:tile tx="0" ty="0" sx="100000" sy="100000" flip="none" algn="ctr"/>
        </a:blipFill>
      </c:spPr>
    </c:floor>
    <c:sideWall>
      <c:thickness val="0"/>
    </c:sideWall>
    <c:backWall>
      <c:thickness val="0"/>
    </c:backWall>
    <c:plotArea>
      <c:layout>
        <c:manualLayout>
          <c:layoutTarget val="inner"/>
          <c:xMode val="edge"/>
          <c:yMode val="edge"/>
          <c:x val="3.0676601588960968E-2"/>
          <c:y val="0.15194210060689819"/>
          <c:w val="0.81499134133818185"/>
          <c:h val="0.77359166086425524"/>
        </c:manualLayout>
      </c:layout>
      <c:pie3DChart>
        <c:varyColors val="1"/>
        <c:ser>
          <c:idx val="0"/>
          <c:order val="0"/>
          <c:tx>
            <c:strRef>
              <c:f>Лист1!$A$2</c:f>
              <c:strCache>
                <c:ptCount val="1"/>
                <c:pt idx="0">
                  <c:v>Доля населения, систематически занимающегося физической культурой и спортом</c:v>
                </c:pt>
              </c:strCache>
            </c:strRef>
          </c:tx>
          <c:explosion val="67"/>
          <c:dPt>
            <c:idx val="1"/>
            <c:bubble3D val="0"/>
            <c:spPr>
              <a:blipFill>
                <a:blip xmlns:r="http://schemas.openxmlformats.org/officeDocument/2006/relationships" r:embed="rId2"/>
                <a:tile tx="0" ty="0" sx="100000" sy="100000" flip="none" algn="ctr"/>
              </a:blipFill>
            </c:spPr>
          </c:dPt>
          <c:dPt>
            <c:idx val="2"/>
            <c:bubble3D val="0"/>
            <c:spPr>
              <a:pattFill prst="lgConfetti">
                <a:fgClr>
                  <a:schemeClr val="tx2">
                    <a:lumMod val="60000"/>
                    <a:lumOff val="40000"/>
                  </a:schemeClr>
                </a:fgClr>
                <a:bgClr>
                  <a:schemeClr val="accent4">
                    <a:lumMod val="40000"/>
                    <a:lumOff val="60000"/>
                  </a:schemeClr>
                </a:bgClr>
              </a:pattFill>
            </c:spPr>
          </c:dPt>
          <c:dPt>
            <c:idx val="3"/>
            <c:bubble3D val="0"/>
            <c:spPr>
              <a:pattFill prst="sphere">
                <a:fgClr>
                  <a:schemeClr val="accent2">
                    <a:lumMod val="75000"/>
                  </a:schemeClr>
                </a:fgClr>
                <a:bgClr>
                  <a:schemeClr val="bg1"/>
                </a:bgClr>
              </a:pattFill>
            </c:spPr>
          </c:dPt>
          <c:dPt>
            <c:idx val="4"/>
            <c:bubble3D val="0"/>
            <c:spPr>
              <a:blipFill>
                <a:blip xmlns:r="http://schemas.openxmlformats.org/officeDocument/2006/relationships" r:embed="rId3"/>
                <a:tile tx="0" ty="0" sx="100000" sy="100000" flip="none" algn="tl"/>
              </a:blipFill>
            </c:spPr>
          </c:dPt>
          <c:dPt>
            <c:idx val="5"/>
            <c:bubble3D val="0"/>
            <c:spPr>
              <a:gradFill>
                <a:gsLst>
                  <a:gs pos="24250">
                    <a:srgbClr val="A26B00">
                      <a:lumMod val="93000"/>
                      <a:alpha val="74000"/>
                    </a:srgbClr>
                  </a:gs>
                  <a:gs pos="20500">
                    <a:srgbClr val="C17F00"/>
                  </a:gs>
                  <a:gs pos="13000">
                    <a:srgbClr val="FFA800"/>
                  </a:gs>
                  <a:gs pos="28000">
                    <a:srgbClr val="825600"/>
                  </a:gs>
                  <a:gs pos="42999">
                    <a:srgbClr val="FFA800"/>
                  </a:gs>
                  <a:gs pos="58000">
                    <a:srgbClr val="825600"/>
                  </a:gs>
                  <a:gs pos="72000">
                    <a:srgbClr val="FFA800"/>
                  </a:gs>
                  <a:gs pos="87000">
                    <a:srgbClr val="825600"/>
                  </a:gs>
                  <a:gs pos="100000">
                    <a:srgbClr val="FFA800"/>
                  </a:gs>
                </a:gsLst>
                <a:lin ang="10200000" scaled="0"/>
              </a:gradFill>
            </c:spPr>
          </c:dPt>
          <c:dPt>
            <c:idx val="6"/>
            <c:bubble3D val="0"/>
            <c:spPr>
              <a:blipFill dpi="0" rotWithShape="1">
                <a:blip xmlns:r="http://schemas.openxmlformats.org/officeDocument/2006/relationships" r:embed="rId4"/>
                <a:srcRect/>
                <a:tile tx="0" ty="0" sx="100000" sy="100000" flip="none" algn="ctr"/>
              </a:blipFill>
            </c:spPr>
          </c:dPt>
          <c:dPt>
            <c:idx val="7"/>
            <c:bubble3D val="0"/>
            <c:spPr>
              <a:gradFill>
                <a:gsLst>
                  <a:gs pos="0">
                    <a:srgbClr val="7030A0"/>
                  </a:gs>
                  <a:gs pos="69000">
                    <a:schemeClr val="accent1">
                      <a:tint val="44500"/>
                      <a:satMod val="160000"/>
                    </a:schemeClr>
                  </a:gs>
                  <a:gs pos="100000">
                    <a:schemeClr val="accent1">
                      <a:tint val="23500"/>
                      <a:satMod val="160000"/>
                    </a:schemeClr>
                  </a:gs>
                </a:gsLst>
                <a:lin ang="5400000" scaled="0"/>
              </a:gradFill>
            </c:spPr>
          </c:dPt>
          <c:dPt>
            <c:idx val="10"/>
            <c:bubble3D val="0"/>
            <c:explosion val="80"/>
            <c:spPr>
              <a:scene3d>
                <a:camera prst="orthographicFront"/>
                <a:lightRig rig="threePt" dir="t"/>
              </a:scene3d>
              <a:sp3d prstMaterial="dkEdge"/>
            </c:spPr>
          </c:dPt>
          <c:dLbls>
            <c:dLbl>
              <c:idx val="0"/>
              <c:layout>
                <c:manualLayout>
                  <c:x val="-4.7779628507974965E-2"/>
                  <c:y val="0"/>
                </c:manualLayout>
              </c:layout>
              <c:dLblPos val="bestFit"/>
              <c:showLegendKey val="1"/>
              <c:showVal val="1"/>
              <c:showCatName val="1"/>
              <c:showSerName val="0"/>
              <c:showPercent val="0"/>
              <c:showBubbleSize val="0"/>
              <c:separator>
</c:separator>
            </c:dLbl>
            <c:dLbl>
              <c:idx val="1"/>
              <c:layout>
                <c:manualLayout>
                  <c:x val="-0.10516432207619472"/>
                  <c:y val="0.13803920431976086"/>
                </c:manualLayout>
              </c:layout>
              <c:dLblPos val="bestFit"/>
              <c:showLegendKey val="1"/>
              <c:showVal val="1"/>
              <c:showCatName val="1"/>
              <c:showSerName val="0"/>
              <c:showPercent val="0"/>
              <c:showBubbleSize val="0"/>
              <c:separator>
</c:separator>
            </c:dLbl>
            <c:dLbl>
              <c:idx val="2"/>
              <c:layout>
                <c:manualLayout>
                  <c:x val="-0.11335894457563846"/>
                  <c:y val="0.14640521670277665"/>
                </c:manualLayout>
              </c:layout>
              <c:dLblPos val="bestFit"/>
              <c:showLegendKey val="1"/>
              <c:showVal val="1"/>
              <c:showCatName val="1"/>
              <c:showSerName val="0"/>
              <c:showPercent val="0"/>
              <c:showBubbleSize val="0"/>
              <c:separator>
</c:separator>
            </c:dLbl>
            <c:dLbl>
              <c:idx val="3"/>
              <c:layout>
                <c:manualLayout>
                  <c:x val="0"/>
                  <c:y val="7.0705179051635744E-2"/>
                </c:manualLayout>
              </c:layout>
              <c:dLblPos val="bestFit"/>
              <c:showLegendKey val="1"/>
              <c:showVal val="1"/>
              <c:showCatName val="1"/>
              <c:showSerName val="0"/>
              <c:showPercent val="0"/>
              <c:showBubbleSize val="0"/>
              <c:separator>
</c:separator>
            </c:dLbl>
            <c:dLbl>
              <c:idx val="4"/>
              <c:layout>
                <c:manualLayout>
                  <c:x val="0"/>
                  <c:y val="1.9923774884404805E-2"/>
                </c:manualLayout>
              </c:layout>
              <c:dLblPos val="bestFit"/>
              <c:showLegendKey val="1"/>
              <c:showVal val="1"/>
              <c:showCatName val="1"/>
              <c:showSerName val="0"/>
              <c:showPercent val="0"/>
              <c:showBubbleSize val="0"/>
              <c:separator>
</c:separator>
            </c:dLbl>
            <c:dLbl>
              <c:idx val="5"/>
              <c:layout>
                <c:manualLayout>
                  <c:x val="0"/>
                  <c:y val="-4.6141603306957636E-2"/>
                </c:manualLayout>
              </c:layout>
              <c:dLblPos val="bestFit"/>
              <c:showLegendKey val="1"/>
              <c:showVal val="1"/>
              <c:showCatName val="1"/>
              <c:showSerName val="0"/>
              <c:showPercent val="0"/>
              <c:showBubbleSize val="0"/>
              <c:separator>
</c:separator>
            </c:dLbl>
            <c:dLbl>
              <c:idx val="6"/>
              <c:layout>
                <c:manualLayout>
                  <c:x val="-0.13657704165739573"/>
                  <c:y val="-6.6928099064126473E-2"/>
                </c:manualLayout>
              </c:layout>
              <c:dLblPos val="bestFit"/>
              <c:showLegendKey val="1"/>
              <c:showVal val="1"/>
              <c:showCatName val="1"/>
              <c:showSerName val="0"/>
              <c:showPercent val="0"/>
              <c:showBubbleSize val="0"/>
              <c:separator>
</c:separator>
            </c:dLbl>
            <c:dLbl>
              <c:idx val="7"/>
              <c:layout>
                <c:manualLayout>
                  <c:x val="-0.11199317415906453"/>
                  <c:y val="-0.11921567645797528"/>
                </c:manualLayout>
              </c:layout>
              <c:dLblPos val="bestFit"/>
              <c:showLegendKey val="1"/>
              <c:showVal val="1"/>
              <c:showCatName val="1"/>
              <c:showSerName val="0"/>
              <c:showPercent val="0"/>
              <c:showBubbleSize val="0"/>
              <c:separator>
</c:separator>
            </c:dLbl>
            <c:dLbl>
              <c:idx val="8"/>
              <c:layout>
                <c:manualLayout>
                  <c:x val="-7.3751602494993698E-2"/>
                  <c:y val="-7.3202608351388324E-2"/>
                </c:manualLayout>
              </c:layout>
              <c:dLblPos val="bestFit"/>
              <c:showLegendKey val="1"/>
              <c:showVal val="1"/>
              <c:showCatName val="1"/>
              <c:showSerName val="0"/>
              <c:showPercent val="0"/>
              <c:showBubbleSize val="0"/>
              <c:separator>
</c:separator>
            </c:dLbl>
            <c:dLbl>
              <c:idx val="9"/>
              <c:layout>
                <c:manualLayout>
                  <c:x val="0.11472471499221241"/>
                  <c:y val="-0.11503267026646738"/>
                </c:manualLayout>
              </c:layout>
              <c:dLblPos val="bestFit"/>
              <c:showLegendKey val="1"/>
              <c:showVal val="1"/>
              <c:showCatName val="1"/>
              <c:showSerName val="0"/>
              <c:showPercent val="0"/>
              <c:showBubbleSize val="0"/>
              <c:separator>
</c:separator>
            </c:dLbl>
            <c:dLbl>
              <c:idx val="10"/>
              <c:layout>
                <c:manualLayout>
                  <c:x val="4.2338882913792779E-2"/>
                  <c:y val="-6.2745092872618535E-2"/>
                </c:manualLayout>
              </c:layout>
              <c:dLblPos val="bestFit"/>
              <c:showLegendKey val="1"/>
              <c:showVal val="1"/>
              <c:showCatName val="1"/>
              <c:showSerName val="0"/>
              <c:showPercent val="0"/>
              <c:showBubbleSize val="0"/>
              <c:separator>
</c:separator>
            </c:dLbl>
            <c:dLbl>
              <c:idx val="11"/>
              <c:layout>
                <c:manualLayout>
                  <c:x val="0.15023474582313531"/>
                  <c:y val="-2.0915030957539524E-2"/>
                </c:manualLayout>
              </c:layout>
              <c:dLblPos val="bestFit"/>
              <c:showLegendKey val="1"/>
              <c:showVal val="1"/>
              <c:showCatName val="1"/>
              <c:showSerName val="0"/>
              <c:showPercent val="0"/>
              <c:showBubbleSize val="0"/>
              <c:separator>
</c:separator>
            </c:dLbl>
            <c:dLbl>
              <c:idx val="12"/>
              <c:layout>
                <c:manualLayout>
                  <c:x val="0.20623133290266757"/>
                  <c:y val="3.1372546436309282E-2"/>
                </c:manualLayout>
              </c:layout>
              <c:dLblPos val="bestFit"/>
              <c:showLegendKey val="1"/>
              <c:showVal val="1"/>
              <c:showCatName val="1"/>
              <c:showSerName val="0"/>
              <c:showPercent val="0"/>
              <c:showBubbleSize val="0"/>
              <c:separator>
</c:separator>
            </c:dLbl>
            <c:dLbl>
              <c:idx val="13"/>
              <c:layout>
                <c:manualLayout>
                  <c:x val="0.15459687731341273"/>
                  <c:y val="3.1807154326839365E-2"/>
                </c:manualLayout>
              </c:layout>
              <c:dLblPos val="bestFit"/>
              <c:showLegendKey val="1"/>
              <c:showVal val="1"/>
              <c:showCatName val="1"/>
              <c:showSerName val="0"/>
              <c:showPercent val="0"/>
              <c:showBubbleSize val="0"/>
              <c:separator>
</c:separator>
            </c:dLbl>
            <c:numFmt formatCode="#,##0.00" sourceLinked="0"/>
            <c:spPr>
              <a:noFill/>
            </c:spPr>
            <c:txPr>
              <a:bodyPr rot="0" vert="horz" anchor="ctr" anchorCtr="0"/>
              <a:lstStyle/>
              <a:p>
                <a:pPr>
                  <a:defRPr sz="1200" baseline="0"/>
                </a:pPr>
                <a:endParaRPr lang="ru-RU"/>
              </a:p>
            </c:txPr>
            <c:dLblPos val="outEnd"/>
            <c:showLegendKey val="1"/>
            <c:showVal val="1"/>
            <c:showCatName val="1"/>
            <c:showSerName val="0"/>
            <c:showPercent val="0"/>
            <c:showBubbleSize val="0"/>
            <c:separator>
</c:separator>
            <c:showLeaderLines val="1"/>
          </c:dLbls>
          <c:cat>
            <c:strRef>
              <c:f>Лист1!$B$1:$O$1</c:f>
              <c:strCache>
                <c:ptCount val="14"/>
                <c:pt idx="0">
                  <c:v>Петропавловск-Камчатский</c:v>
                </c:pt>
                <c:pt idx="1">
                  <c:v>Вилючинский</c:v>
                </c:pt>
                <c:pt idx="2">
                  <c:v>п. Палана</c:v>
                </c:pt>
                <c:pt idx="3">
                  <c:v>Алеутский</c:v>
                </c:pt>
                <c:pt idx="4">
                  <c:v>Быстринский</c:v>
                </c:pt>
                <c:pt idx="5">
                  <c:v>Елизовский</c:v>
                </c:pt>
                <c:pt idx="6">
                  <c:v>Мильковский</c:v>
                </c:pt>
                <c:pt idx="7">
                  <c:v>Соболевский</c:v>
                </c:pt>
                <c:pt idx="8">
                  <c:v>Усть-Большерецкий</c:v>
                </c:pt>
                <c:pt idx="9">
                  <c:v>Усть-Камчатский</c:v>
                </c:pt>
                <c:pt idx="10">
                  <c:v>Карагинский</c:v>
                </c:pt>
                <c:pt idx="11">
                  <c:v>Олюторский</c:v>
                </c:pt>
                <c:pt idx="12">
                  <c:v>Пенжинский</c:v>
                </c:pt>
                <c:pt idx="13">
                  <c:v>Тигильский</c:v>
                </c:pt>
              </c:strCache>
            </c:strRef>
          </c:cat>
          <c:val>
            <c:numRef>
              <c:f>Лист1!$B$2:$O$2</c:f>
              <c:numCache>
                <c:formatCode>0.00;[Red]0.00</c:formatCode>
                <c:ptCount val="14"/>
                <c:pt idx="0">
                  <c:v>0.02</c:v>
                </c:pt>
                <c:pt idx="1">
                  <c:v>0.6</c:v>
                </c:pt>
                <c:pt idx="2">
                  <c:v>0.5</c:v>
                </c:pt>
                <c:pt idx="3">
                  <c:v>0.4</c:v>
                </c:pt>
                <c:pt idx="4">
                  <c:v>0.21</c:v>
                </c:pt>
                <c:pt idx="5">
                  <c:v>0.31</c:v>
                </c:pt>
                <c:pt idx="6">
                  <c:v>0.56000000000000005</c:v>
                </c:pt>
                <c:pt idx="7">
                  <c:v>0.35</c:v>
                </c:pt>
                <c:pt idx="8">
                  <c:v>0.11</c:v>
                </c:pt>
                <c:pt idx="9">
                  <c:v>0.17</c:v>
                </c:pt>
                <c:pt idx="10">
                  <c:v>0.55000000000000004</c:v>
                </c:pt>
                <c:pt idx="11">
                  <c:v>0.28000000000000003</c:v>
                </c:pt>
                <c:pt idx="12">
                  <c:v>0.71</c:v>
                </c:pt>
                <c:pt idx="13">
                  <c:v>0.15</c:v>
                </c:pt>
              </c:numCache>
            </c:numRef>
          </c:val>
        </c:ser>
        <c:dLbls>
          <c:showLegendKey val="0"/>
          <c:showVal val="0"/>
          <c:showCatName val="0"/>
          <c:showSerName val="0"/>
          <c:showPercent val="0"/>
          <c:showBubbleSize val="0"/>
          <c:showLeaderLines val="1"/>
        </c:dLbls>
      </c:pie3DChart>
    </c:plotArea>
    <c:plotVisOnly val="1"/>
    <c:dispBlanksAs val="gap"/>
    <c:showDLblsOverMax val="0"/>
  </c:chart>
  <c:spPr>
    <a:noFill/>
    <a:ln>
      <a:noFill/>
    </a:ln>
  </c:spPr>
  <c:externalData r:id="rId5">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40"/>
      <c:rotY val="10"/>
      <c:rAngAx val="1"/>
    </c:view3D>
    <c:floor>
      <c:thickness val="0"/>
      <c:spPr>
        <a:solidFill>
          <a:schemeClr val="accent6">
            <a:lumMod val="60000"/>
            <a:lumOff val="40000"/>
            <a:alpha val="43000"/>
          </a:schemeClr>
        </a:solidFill>
      </c:spPr>
    </c:floor>
    <c:sideWall>
      <c:thickness val="0"/>
    </c:sideWall>
    <c:backWall>
      <c:thickness val="0"/>
    </c:backWall>
    <c:plotArea>
      <c:layout>
        <c:manualLayout>
          <c:layoutTarget val="inner"/>
          <c:xMode val="edge"/>
          <c:yMode val="edge"/>
          <c:x val="0.19600339916526827"/>
          <c:y val="8.4192666293282517E-4"/>
          <c:w val="0.80399660083473168"/>
          <c:h val="0.5040220077092874"/>
        </c:manualLayout>
      </c:layout>
      <c:bar3DChart>
        <c:barDir val="col"/>
        <c:grouping val="clustered"/>
        <c:varyColors val="0"/>
        <c:ser>
          <c:idx val="0"/>
          <c:order val="0"/>
          <c:tx>
            <c:strRef>
              <c:f>Лист1!$B$1</c:f>
              <c:strCache>
                <c:ptCount val="1"/>
                <c:pt idx="0">
                  <c:v>Петропавловск-Камчатский</c:v>
                </c:pt>
              </c:strCache>
            </c:strRef>
          </c:tx>
          <c:spPr>
            <a:blipFill>
              <a:blip xmlns:r="http://schemas.openxmlformats.org/officeDocument/2006/relationships" r:embed="rId1"/>
              <a:tile tx="0" ty="0" sx="100000" sy="100000" flip="none" algn="tl"/>
            </a:blipFill>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Лист1!$B$2:$B$5</c:f>
              <c:numCache>
                <c:formatCode>0.00;[Red]0.00</c:formatCode>
                <c:ptCount val="4"/>
                <c:pt idx="0">
                  <c:v>0.41</c:v>
                </c:pt>
                <c:pt idx="1">
                  <c:v>1</c:v>
                </c:pt>
                <c:pt idx="2">
                  <c:v>0.4</c:v>
                </c:pt>
                <c:pt idx="3">
                  <c:v>0.65</c:v>
                </c:pt>
              </c:numCache>
            </c:numRef>
          </c:val>
          <c:shape val="box"/>
        </c:ser>
        <c:ser>
          <c:idx val="1"/>
          <c:order val="1"/>
          <c:tx>
            <c:strRef>
              <c:f>Лист1!$C$1</c:f>
              <c:strCache>
                <c:ptCount val="1"/>
                <c:pt idx="0">
                  <c:v>Вилючинский</c:v>
                </c:pt>
              </c:strCache>
            </c:strRef>
          </c:tx>
          <c:spPr>
            <a:blipFill>
              <a:blip xmlns:r="http://schemas.openxmlformats.org/officeDocument/2006/relationships" r:embed="rId2"/>
              <a:tile tx="0" ty="0" sx="100000" sy="100000" flip="none" algn="tl"/>
            </a:blipFill>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Лист1!$C$2:$C$5</c:f>
              <c:numCache>
                <c:formatCode>0.00;[Red]0.00</c:formatCode>
                <c:ptCount val="4"/>
                <c:pt idx="0">
                  <c:v>1</c:v>
                </c:pt>
                <c:pt idx="1">
                  <c:v>0.26</c:v>
                </c:pt>
                <c:pt idx="2">
                  <c:v>0.32</c:v>
                </c:pt>
                <c:pt idx="3">
                  <c:v>0</c:v>
                </c:pt>
              </c:numCache>
            </c:numRef>
          </c:val>
          <c:shape val="box"/>
        </c:ser>
        <c:ser>
          <c:idx val="2"/>
          <c:order val="2"/>
          <c:tx>
            <c:strRef>
              <c:f>Лист1!$D$1</c:f>
              <c:strCache>
                <c:ptCount val="1"/>
                <c:pt idx="0">
                  <c:v>п. Палана</c:v>
                </c:pt>
              </c:strCache>
            </c:strRef>
          </c:tx>
          <c:spPr>
            <a:blipFill>
              <a:blip xmlns:r="http://schemas.openxmlformats.org/officeDocument/2006/relationships" r:embed="rId3"/>
              <a:tile tx="0" ty="0" sx="100000" sy="100000" flip="none" algn="tl"/>
            </a:blipFill>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Лист1!$D$2:$D$5</c:f>
              <c:numCache>
                <c:formatCode>0.00;[Red]0.00</c:formatCode>
                <c:ptCount val="4"/>
                <c:pt idx="0">
                  <c:v>0</c:v>
                </c:pt>
                <c:pt idx="1">
                  <c:v>0</c:v>
                </c:pt>
                <c:pt idx="2">
                  <c:v>0.61</c:v>
                </c:pt>
                <c:pt idx="3">
                  <c:v>0.68</c:v>
                </c:pt>
              </c:numCache>
            </c:numRef>
          </c:val>
          <c:shape val="box"/>
        </c:ser>
        <c:ser>
          <c:idx val="3"/>
          <c:order val="3"/>
          <c:tx>
            <c:strRef>
              <c:f>Лист1!$E$1</c:f>
              <c:strCache>
                <c:ptCount val="1"/>
                <c:pt idx="0">
                  <c:v>Алеутский</c:v>
                </c:pt>
              </c:strCache>
            </c:strRef>
          </c:tx>
          <c:spPr>
            <a:blipFill>
              <a:blip xmlns:r="http://schemas.openxmlformats.org/officeDocument/2006/relationships" r:embed="rId4"/>
              <a:tile tx="0" ty="0" sx="100000" sy="100000" flip="none" algn="tl"/>
            </a:blipFill>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Лист1!$E$2:$E$5</c:f>
              <c:numCache>
                <c:formatCode>0.00;[Red]0.00</c:formatCode>
                <c:ptCount val="4"/>
                <c:pt idx="0">
                  <c:v>0.83</c:v>
                </c:pt>
                <c:pt idx="1">
                  <c:v>0.4</c:v>
                </c:pt>
                <c:pt idx="2">
                  <c:v>0.41</c:v>
                </c:pt>
                <c:pt idx="3">
                  <c:v>0.24</c:v>
                </c:pt>
              </c:numCache>
            </c:numRef>
          </c:val>
          <c:shape val="box"/>
        </c:ser>
        <c:ser>
          <c:idx val="5"/>
          <c:order val="4"/>
          <c:tx>
            <c:strRef>
              <c:f>Лист1!$F$1</c:f>
              <c:strCache>
                <c:ptCount val="1"/>
                <c:pt idx="0">
                  <c:v>Быстринский</c:v>
                </c:pt>
              </c:strCache>
            </c:strRef>
          </c:tx>
          <c:spPr>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Лист1!$F$2:$F$5</c:f>
              <c:numCache>
                <c:formatCode>0.00;[Red]0.00</c:formatCode>
                <c:ptCount val="4"/>
                <c:pt idx="0">
                  <c:v>0.47717440957434937</c:v>
                </c:pt>
                <c:pt idx="1">
                  <c:v>0.49</c:v>
                </c:pt>
                <c:pt idx="2">
                  <c:v>0.92</c:v>
                </c:pt>
                <c:pt idx="3">
                  <c:v>1</c:v>
                </c:pt>
              </c:numCache>
            </c:numRef>
          </c:val>
          <c:shape val="box"/>
        </c:ser>
        <c:ser>
          <c:idx val="6"/>
          <c:order val="5"/>
          <c:tx>
            <c:strRef>
              <c:f>Лист1!$G$1</c:f>
              <c:strCache>
                <c:ptCount val="1"/>
                <c:pt idx="0">
                  <c:v>Елизовский</c:v>
                </c:pt>
              </c:strCache>
            </c:strRef>
          </c:tx>
          <c:spPr>
            <a:pattFill prst="wdUpDiag">
              <a:fgClr>
                <a:srgbClr val="7030A0"/>
              </a:fgClr>
              <a:bgClr>
                <a:schemeClr val="accent3"/>
              </a:bgClr>
            </a:pattFill>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Лист1!$G$2:$G$5</c:f>
              <c:numCache>
                <c:formatCode>0.00;[Red]0.00</c:formatCode>
                <c:ptCount val="4"/>
                <c:pt idx="0">
                  <c:v>0.41</c:v>
                </c:pt>
                <c:pt idx="1">
                  <c:v>0.8</c:v>
                </c:pt>
                <c:pt idx="2">
                  <c:v>0.41</c:v>
                </c:pt>
                <c:pt idx="3">
                  <c:v>0.23</c:v>
                </c:pt>
              </c:numCache>
            </c:numRef>
          </c:val>
          <c:shape val="box"/>
        </c:ser>
        <c:ser>
          <c:idx val="4"/>
          <c:order val="6"/>
          <c:tx>
            <c:strRef>
              <c:f>Лист1!$H$1</c:f>
              <c:strCache>
                <c:ptCount val="1"/>
                <c:pt idx="0">
                  <c:v>Мильковский</c:v>
                </c:pt>
              </c:strCache>
            </c:strRef>
          </c:tx>
          <c:spPr>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Лист1!$H$2:$H$5</c:f>
              <c:numCache>
                <c:formatCode>0.00;[Red]0.00</c:formatCode>
                <c:ptCount val="4"/>
                <c:pt idx="0">
                  <c:v>0.62</c:v>
                </c:pt>
                <c:pt idx="1">
                  <c:v>0.35</c:v>
                </c:pt>
                <c:pt idx="2">
                  <c:v>0.22</c:v>
                </c:pt>
                <c:pt idx="3">
                  <c:v>0.25</c:v>
                </c:pt>
              </c:numCache>
            </c:numRef>
          </c:val>
          <c:shape val="box"/>
        </c:ser>
        <c:ser>
          <c:idx val="7"/>
          <c:order val="7"/>
          <c:tx>
            <c:strRef>
              <c:f>Лист1!$I$1</c:f>
              <c:strCache>
                <c:ptCount val="1"/>
                <c:pt idx="0">
                  <c:v>Соболевский</c:v>
                </c:pt>
              </c:strCache>
            </c:strRef>
          </c:tx>
          <c:spPr>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Лист1!$I$2:$I$5</c:f>
              <c:numCache>
                <c:formatCode>0.00;[Red]0.00</c:formatCode>
                <c:ptCount val="4"/>
                <c:pt idx="0">
                  <c:v>0.52</c:v>
                </c:pt>
                <c:pt idx="1">
                  <c:v>0</c:v>
                </c:pt>
                <c:pt idx="2">
                  <c:v>0.66</c:v>
                </c:pt>
                <c:pt idx="3">
                  <c:v>0.19</c:v>
                </c:pt>
              </c:numCache>
            </c:numRef>
          </c:val>
          <c:shape val="box"/>
        </c:ser>
        <c:ser>
          <c:idx val="8"/>
          <c:order val="8"/>
          <c:tx>
            <c:strRef>
              <c:f>Лист1!$J$1</c:f>
              <c:strCache>
                <c:ptCount val="1"/>
                <c:pt idx="0">
                  <c:v>Усть-Большерецкий</c:v>
                </c:pt>
              </c:strCache>
            </c:strRef>
          </c:tx>
          <c:spPr>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Лист1!$J$2:$J$5</c:f>
              <c:numCache>
                <c:formatCode>0.00;[Red]0.00</c:formatCode>
                <c:ptCount val="4"/>
                <c:pt idx="0">
                  <c:v>0.42</c:v>
                </c:pt>
                <c:pt idx="1">
                  <c:v>0</c:v>
                </c:pt>
                <c:pt idx="2">
                  <c:v>0.13</c:v>
                </c:pt>
                <c:pt idx="3">
                  <c:v>0.21</c:v>
                </c:pt>
              </c:numCache>
            </c:numRef>
          </c:val>
          <c:shape val="box"/>
        </c:ser>
        <c:ser>
          <c:idx val="9"/>
          <c:order val="9"/>
          <c:tx>
            <c:strRef>
              <c:f>Лист1!$K$1</c:f>
              <c:strCache>
                <c:ptCount val="1"/>
                <c:pt idx="0">
                  <c:v>Усть-Камчатский</c:v>
                </c:pt>
              </c:strCache>
            </c:strRef>
          </c:tx>
          <c:spPr>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Лист1!$K$2:$K$5</c:f>
              <c:numCache>
                <c:formatCode>0.00;[Red]0.00</c:formatCode>
                <c:ptCount val="4"/>
                <c:pt idx="0">
                  <c:v>0.74</c:v>
                </c:pt>
                <c:pt idx="1">
                  <c:v>0.57999999999999996</c:v>
                </c:pt>
                <c:pt idx="2">
                  <c:v>0.62</c:v>
                </c:pt>
                <c:pt idx="3">
                  <c:v>0.28000000000000003</c:v>
                </c:pt>
              </c:numCache>
            </c:numRef>
          </c:val>
          <c:shape val="box"/>
        </c:ser>
        <c:ser>
          <c:idx val="10"/>
          <c:order val="10"/>
          <c:tx>
            <c:strRef>
              <c:f>Лист1!$L$1</c:f>
              <c:strCache>
                <c:ptCount val="1"/>
                <c:pt idx="0">
                  <c:v>Карагинский</c:v>
                </c:pt>
              </c:strCache>
            </c:strRef>
          </c:tx>
          <c:spPr>
            <a:ln w="63500"/>
          </c:spPr>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Лист1!$L$2:$L$5</c:f>
              <c:numCache>
                <c:formatCode>0.00;[Red]0.00</c:formatCode>
                <c:ptCount val="4"/>
                <c:pt idx="0">
                  <c:v>0.49</c:v>
                </c:pt>
                <c:pt idx="1">
                  <c:v>0.01</c:v>
                </c:pt>
                <c:pt idx="2">
                  <c:v>0</c:v>
                </c:pt>
                <c:pt idx="3">
                  <c:v>0</c:v>
                </c:pt>
              </c:numCache>
            </c:numRef>
          </c:val>
          <c:shape val="box"/>
        </c:ser>
        <c:ser>
          <c:idx val="11"/>
          <c:order val="11"/>
          <c:tx>
            <c:strRef>
              <c:f>Лист1!$M$1</c:f>
              <c:strCache>
                <c:ptCount val="1"/>
                <c:pt idx="0">
                  <c:v>Олюторский</c:v>
                </c:pt>
              </c:strCache>
            </c:strRef>
          </c:tx>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Лист1!$M$2:$M$5</c:f>
              <c:numCache>
                <c:formatCode>0.00;[Red]0.00</c:formatCode>
                <c:ptCount val="4"/>
                <c:pt idx="0">
                  <c:v>0.01</c:v>
                </c:pt>
                <c:pt idx="1">
                  <c:v>0.02</c:v>
                </c:pt>
                <c:pt idx="2">
                  <c:v>0.06</c:v>
                </c:pt>
                <c:pt idx="3">
                  <c:v>0.24</c:v>
                </c:pt>
              </c:numCache>
            </c:numRef>
          </c:val>
          <c:shape val="box"/>
        </c:ser>
        <c:ser>
          <c:idx val="12"/>
          <c:order val="12"/>
          <c:tx>
            <c:strRef>
              <c:f>Лист1!$N$1</c:f>
              <c:strCache>
                <c:ptCount val="1"/>
                <c:pt idx="0">
                  <c:v>Пенжинский</c:v>
                </c:pt>
              </c:strCache>
            </c:strRef>
          </c:tx>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Лист1!$N$2:$N$5</c:f>
              <c:numCache>
                <c:formatCode>0.00;[Red]0.00</c:formatCode>
                <c:ptCount val="4"/>
                <c:pt idx="0">
                  <c:v>7.0000000000000007E-2</c:v>
                </c:pt>
                <c:pt idx="1">
                  <c:v>0.01</c:v>
                </c:pt>
                <c:pt idx="2">
                  <c:v>0.01</c:v>
                </c:pt>
                <c:pt idx="3">
                  <c:v>0</c:v>
                </c:pt>
              </c:numCache>
            </c:numRef>
          </c:val>
          <c:shape val="box"/>
        </c:ser>
        <c:ser>
          <c:idx val="13"/>
          <c:order val="13"/>
          <c:tx>
            <c:strRef>
              <c:f>Лист1!$O$1</c:f>
              <c:strCache>
                <c:ptCount val="1"/>
                <c:pt idx="0">
                  <c:v>Тигильский</c:v>
                </c:pt>
              </c:strCache>
            </c:strRef>
          </c:tx>
          <c:invertIfNegative val="0"/>
          <c:cat>
            <c:strRef>
              <c:f>Лист1!$A$2:$A$5</c:f>
              <c:strCache>
                <c:ptCount val="4"/>
                <c:pt idx="0">
                  <c:v>Общая площадь жилых помещений, приходящаяся в среднем на одного жителя, - всего</c:v>
                </c:pt>
                <c:pt idx="1">
                  <c:v>в том числе
введенная в действие за один год</c:v>
                </c:pt>
                <c:pt idx="2">
                  <c:v>Площадь земельных участков, предоставленных для строительства в расчете на 10 тыс. человек населения, - всего</c:v>
                </c:pt>
                <c:pt idx="3">
                  <c:v>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c:v>
                </c:pt>
              </c:strCache>
            </c:strRef>
          </c:cat>
          <c:val>
            <c:numRef>
              <c:f>Лист1!$O$2:$O$5</c:f>
              <c:numCache>
                <c:formatCode>0.00;[Red]0.00</c:formatCode>
                <c:ptCount val="4"/>
                <c:pt idx="0">
                  <c:v>0.35</c:v>
                </c:pt>
                <c:pt idx="1">
                  <c:v>0.02</c:v>
                </c:pt>
                <c:pt idx="2">
                  <c:v>0.01</c:v>
                </c:pt>
                <c:pt idx="3">
                  <c:v>0.22</c:v>
                </c:pt>
              </c:numCache>
            </c:numRef>
          </c:val>
          <c:shape val="box"/>
        </c:ser>
        <c:dLbls>
          <c:showLegendKey val="0"/>
          <c:showVal val="0"/>
          <c:showCatName val="0"/>
          <c:showSerName val="0"/>
          <c:showPercent val="0"/>
          <c:showBubbleSize val="0"/>
        </c:dLbls>
        <c:gapWidth val="112"/>
        <c:gapDepth val="206"/>
        <c:shape val="cylinder"/>
        <c:axId val="183073024"/>
        <c:axId val="183074816"/>
        <c:axId val="0"/>
      </c:bar3DChart>
      <c:catAx>
        <c:axId val="183073024"/>
        <c:scaling>
          <c:orientation val="minMax"/>
        </c:scaling>
        <c:delete val="0"/>
        <c:axPos val="b"/>
        <c:majorGridlines/>
        <c:minorGridlines>
          <c:spPr>
            <a:ln>
              <a:noFill/>
            </a:ln>
          </c:spPr>
        </c:minorGridlines>
        <c:numFmt formatCode="General" sourceLinked="1"/>
        <c:majorTickMark val="out"/>
        <c:minorTickMark val="none"/>
        <c:tickLblPos val="nextTo"/>
        <c:txPr>
          <a:bodyPr rot="-5400000" vert="horz" anchor="ctr" anchorCtr="0"/>
          <a:lstStyle/>
          <a:p>
            <a:pPr>
              <a:defRPr sz="1150" baseline="0"/>
            </a:pPr>
            <a:endParaRPr lang="ru-RU"/>
          </a:p>
        </c:txPr>
        <c:crossAx val="183074816"/>
        <c:crossesAt val="0"/>
        <c:auto val="0"/>
        <c:lblAlgn val="ctr"/>
        <c:lblOffset val="100"/>
        <c:noMultiLvlLbl val="1"/>
      </c:catAx>
      <c:valAx>
        <c:axId val="183074816"/>
        <c:scaling>
          <c:orientation val="minMax"/>
          <c:max val="1"/>
          <c:min val="0"/>
        </c:scaling>
        <c:delete val="1"/>
        <c:axPos val="l"/>
        <c:minorGridlines/>
        <c:numFmt formatCode="0.00;[Red]0.00" sourceLinked="1"/>
        <c:majorTickMark val="out"/>
        <c:minorTickMark val="none"/>
        <c:tickLblPos val="nextTo"/>
        <c:crossAx val="183073024"/>
        <c:crossesAt val="0"/>
        <c:crossBetween val="between"/>
      </c:valAx>
      <c:dTable>
        <c:showHorzBorder val="1"/>
        <c:showVertBorder val="1"/>
        <c:showOutline val="1"/>
        <c:showKeys val="1"/>
        <c:txPr>
          <a:bodyPr/>
          <a:lstStyle/>
          <a:p>
            <a:pPr rtl="0">
              <a:defRPr sz="600"/>
            </a:pPr>
            <a:endParaRPr lang="ru-RU"/>
          </a:p>
        </c:txPr>
      </c:dTable>
    </c:plotArea>
    <c:plotVisOnly val="1"/>
    <c:dispBlanksAs val="gap"/>
    <c:showDLblsOverMax val="0"/>
  </c:chart>
  <c:spPr>
    <a:scene3d>
      <a:camera prst="orthographicFront"/>
      <a:lightRig rig="threePt" dir="t"/>
    </a:scene3d>
    <a:sp3d prstMaterial="dkEdge"/>
  </c:spPr>
  <c:externalData r:id="rId5">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40"/>
      <c:rotY val="10"/>
      <c:rAngAx val="1"/>
    </c:view3D>
    <c:floor>
      <c:thickness val="0"/>
      <c:spPr>
        <a:solidFill>
          <a:schemeClr val="accent6">
            <a:lumMod val="60000"/>
            <a:lumOff val="40000"/>
            <a:alpha val="43000"/>
          </a:schemeClr>
        </a:solidFill>
      </c:spPr>
    </c:floor>
    <c:sideWall>
      <c:thickness val="0"/>
    </c:sideWall>
    <c:backWall>
      <c:thickness val="0"/>
    </c:backWall>
    <c:plotArea>
      <c:layout>
        <c:manualLayout>
          <c:layoutTarget val="inner"/>
          <c:xMode val="edge"/>
          <c:yMode val="edge"/>
          <c:x val="0.32786885245901637"/>
          <c:y val="7.8247784403518594E-2"/>
          <c:w val="0.67213114754098358"/>
          <c:h val="0.61699271900635855"/>
        </c:manualLayout>
      </c:layout>
      <c:bar3DChart>
        <c:barDir val="col"/>
        <c:grouping val="clustered"/>
        <c:varyColors val="0"/>
        <c:ser>
          <c:idx val="0"/>
          <c:order val="0"/>
          <c:tx>
            <c:strRef>
              <c:f>Лист1!$A$2</c:f>
              <c:strCache>
                <c:ptCount val="1"/>
                <c:pt idx="0">
                  <c:v>Доля многоквартирных домов, в которых собственники помещений выбрали и реализуют один из способов управления многоквартирными домами, в общем числе многоквартирных домов, в которых собственники помещений должны выбрать способ управления данными домами</c:v>
                </c:pt>
              </c:strCache>
            </c:strRef>
          </c:tx>
          <c:spPr>
            <a:pattFill prst="sphere">
              <a:fgClr>
                <a:srgbClr val="FF0000"/>
              </a:fgClr>
              <a:bgClr>
                <a:schemeClr val="tx2"/>
              </a:bgClr>
            </a:pattFill>
            <a:ln w="63500"/>
          </c:spPr>
          <c:invertIfNegative val="0"/>
          <c:cat>
            <c:strRef>
              <c:f>Лист1!$B$1:$O$1</c:f>
              <c:strCache>
                <c:ptCount val="14"/>
                <c:pt idx="0">
                  <c:v>Петропавловск-Камчатский</c:v>
                </c:pt>
                <c:pt idx="1">
                  <c:v>Вилючинский</c:v>
                </c:pt>
                <c:pt idx="2">
                  <c:v>п. Палана</c:v>
                </c:pt>
                <c:pt idx="3">
                  <c:v>Алеутский</c:v>
                </c:pt>
                <c:pt idx="4">
                  <c:v>Быстринский</c:v>
                </c:pt>
                <c:pt idx="5">
                  <c:v>Елизовский</c:v>
                </c:pt>
                <c:pt idx="6">
                  <c:v>Мильковский</c:v>
                </c:pt>
                <c:pt idx="7">
                  <c:v>Соболевский</c:v>
                </c:pt>
                <c:pt idx="8">
                  <c:v>Усть-Большерецкий</c:v>
                </c:pt>
                <c:pt idx="9">
                  <c:v>Усть-Камчатский</c:v>
                </c:pt>
                <c:pt idx="10">
                  <c:v>Карагинский</c:v>
                </c:pt>
                <c:pt idx="11">
                  <c:v>Олюторский</c:v>
                </c:pt>
                <c:pt idx="12">
                  <c:v>Пенжинский</c:v>
                </c:pt>
                <c:pt idx="13">
                  <c:v>Тигильский</c:v>
                </c:pt>
              </c:strCache>
            </c:strRef>
          </c:cat>
          <c:val>
            <c:numRef>
              <c:f>Лист1!$B$2:$O$2</c:f>
              <c:numCache>
                <c:formatCode>0.00;[Red]0.00</c:formatCode>
                <c:ptCount val="14"/>
                <c:pt idx="0">
                  <c:v>0.44</c:v>
                </c:pt>
                <c:pt idx="1">
                  <c:v>1</c:v>
                </c:pt>
                <c:pt idx="2">
                  <c:v>0</c:v>
                </c:pt>
                <c:pt idx="3">
                  <c:v>0</c:v>
                </c:pt>
                <c:pt idx="4">
                  <c:v>0.52768950848927121</c:v>
                </c:pt>
                <c:pt idx="5">
                  <c:v>0.46</c:v>
                </c:pt>
                <c:pt idx="6">
                  <c:v>0.32</c:v>
                </c:pt>
                <c:pt idx="7">
                  <c:v>0.3</c:v>
                </c:pt>
                <c:pt idx="8">
                  <c:v>0.43</c:v>
                </c:pt>
                <c:pt idx="9">
                  <c:v>0.53</c:v>
                </c:pt>
                <c:pt idx="10">
                  <c:v>0.601128</c:v>
                </c:pt>
                <c:pt idx="11">
                  <c:v>0</c:v>
                </c:pt>
                <c:pt idx="12">
                  <c:v>0</c:v>
                </c:pt>
                <c:pt idx="13">
                  <c:v>0.06</c:v>
                </c:pt>
              </c:numCache>
            </c:numRef>
          </c:val>
          <c:shape val="box"/>
        </c:ser>
        <c:ser>
          <c:idx val="1"/>
          <c:order val="1"/>
          <c:tx>
            <c:strRef>
              <c:f>Лист1!$A$3</c:f>
              <c:strCache>
                <c:ptCount val="1"/>
                <c:pt idx="0">
                  <c:v>Доля организаций коммунального комплекса, осуществляющих производство товаров, оказание услуг по водо-, тепло-, газо-, электроснабжению, водоотведению, очистке сточных вод, утилизации (захоронению) твердых бытовых отходов и использующих объекты коммунальн</c:v>
                </c:pt>
              </c:strCache>
            </c:strRef>
          </c:tx>
          <c:spPr>
            <a:blipFill>
              <a:blip xmlns:r="http://schemas.openxmlformats.org/officeDocument/2006/relationships" r:embed="rId1"/>
              <a:tile tx="0" ty="0" sx="100000" sy="100000" flip="none" algn="tl"/>
            </a:blipFill>
            <a:ln w="63500"/>
          </c:spPr>
          <c:invertIfNegative val="0"/>
          <c:cat>
            <c:strRef>
              <c:f>Лист1!$B$1:$O$1</c:f>
              <c:strCache>
                <c:ptCount val="14"/>
                <c:pt idx="0">
                  <c:v>Петропавловск-Камчатский</c:v>
                </c:pt>
                <c:pt idx="1">
                  <c:v>Вилючинский</c:v>
                </c:pt>
                <c:pt idx="2">
                  <c:v>п. Палана</c:v>
                </c:pt>
                <c:pt idx="3">
                  <c:v>Алеутский</c:v>
                </c:pt>
                <c:pt idx="4">
                  <c:v>Быстринский</c:v>
                </c:pt>
                <c:pt idx="5">
                  <c:v>Елизовский</c:v>
                </c:pt>
                <c:pt idx="6">
                  <c:v>Мильковский</c:v>
                </c:pt>
                <c:pt idx="7">
                  <c:v>Соболевский</c:v>
                </c:pt>
                <c:pt idx="8">
                  <c:v>Усть-Большерецкий</c:v>
                </c:pt>
                <c:pt idx="9">
                  <c:v>Усть-Камчатский</c:v>
                </c:pt>
                <c:pt idx="10">
                  <c:v>Карагинский</c:v>
                </c:pt>
                <c:pt idx="11">
                  <c:v>Олюторский</c:v>
                </c:pt>
                <c:pt idx="12">
                  <c:v>Пенжинский</c:v>
                </c:pt>
                <c:pt idx="13">
                  <c:v>Тигильский</c:v>
                </c:pt>
              </c:strCache>
            </c:strRef>
          </c:cat>
          <c:val>
            <c:numRef>
              <c:f>Лист1!$B$3:$O$3</c:f>
              <c:numCache>
                <c:formatCode>0.00;[Red]0.00</c:formatCode>
                <c:ptCount val="14"/>
                <c:pt idx="0">
                  <c:v>0.4</c:v>
                </c:pt>
                <c:pt idx="1">
                  <c:v>0.31</c:v>
                </c:pt>
                <c:pt idx="2">
                  <c:v>0.79</c:v>
                </c:pt>
                <c:pt idx="3">
                  <c:v>0.37</c:v>
                </c:pt>
                <c:pt idx="4">
                  <c:v>0.24</c:v>
                </c:pt>
                <c:pt idx="5">
                  <c:v>0.4</c:v>
                </c:pt>
                <c:pt idx="6">
                  <c:v>0.54</c:v>
                </c:pt>
                <c:pt idx="7">
                  <c:v>0.47</c:v>
                </c:pt>
                <c:pt idx="8">
                  <c:v>0.71</c:v>
                </c:pt>
                <c:pt idx="9">
                  <c:v>0.9</c:v>
                </c:pt>
                <c:pt idx="10">
                  <c:v>0.22</c:v>
                </c:pt>
                <c:pt idx="11">
                  <c:v>0.71</c:v>
                </c:pt>
                <c:pt idx="12">
                  <c:v>0.71</c:v>
                </c:pt>
                <c:pt idx="13">
                  <c:v>0.71</c:v>
                </c:pt>
              </c:numCache>
            </c:numRef>
          </c:val>
          <c:shape val="box"/>
        </c:ser>
        <c:ser>
          <c:idx val="2"/>
          <c:order val="2"/>
          <c:tx>
            <c:strRef>
              <c:f>Лист1!$A$4</c:f>
              <c:strCache>
                <c:ptCount val="1"/>
                <c:pt idx="0">
                  <c:v>Доля многоквартирных домов, расположенных на земельных участках, в отношении которых осуществлен государственный кадастровый учет</c:v>
                </c:pt>
              </c:strCache>
            </c:strRef>
          </c:tx>
          <c:spPr>
            <a:pattFill prst="sphere">
              <a:fgClr>
                <a:srgbClr val="7030A0"/>
              </a:fgClr>
              <a:bgClr>
                <a:schemeClr val="bg1"/>
              </a:bgClr>
            </a:pattFill>
            <a:ln w="63500"/>
          </c:spPr>
          <c:invertIfNegative val="0"/>
          <c:cat>
            <c:strRef>
              <c:f>Лист1!$B$1:$O$1</c:f>
              <c:strCache>
                <c:ptCount val="14"/>
                <c:pt idx="0">
                  <c:v>Петропавловск-Камчатский</c:v>
                </c:pt>
                <c:pt idx="1">
                  <c:v>Вилючинский</c:v>
                </c:pt>
                <c:pt idx="2">
                  <c:v>п. Палана</c:v>
                </c:pt>
                <c:pt idx="3">
                  <c:v>Алеутский</c:v>
                </c:pt>
                <c:pt idx="4">
                  <c:v>Быстринский</c:v>
                </c:pt>
                <c:pt idx="5">
                  <c:v>Елизовский</c:v>
                </c:pt>
                <c:pt idx="6">
                  <c:v>Мильковский</c:v>
                </c:pt>
                <c:pt idx="7">
                  <c:v>Соболевский</c:v>
                </c:pt>
                <c:pt idx="8">
                  <c:v>Усть-Большерецкий</c:v>
                </c:pt>
                <c:pt idx="9">
                  <c:v>Усть-Камчатский</c:v>
                </c:pt>
                <c:pt idx="10">
                  <c:v>Карагинский</c:v>
                </c:pt>
                <c:pt idx="11">
                  <c:v>Олюторский</c:v>
                </c:pt>
                <c:pt idx="12">
                  <c:v>Пенжинский</c:v>
                </c:pt>
                <c:pt idx="13">
                  <c:v>Тигильский</c:v>
                </c:pt>
              </c:strCache>
            </c:strRef>
          </c:cat>
          <c:val>
            <c:numRef>
              <c:f>Лист1!$B$4:$O$4</c:f>
              <c:numCache>
                <c:formatCode>0.00;[Red]0.00</c:formatCode>
                <c:ptCount val="14"/>
                <c:pt idx="0">
                  <c:v>0</c:v>
                </c:pt>
                <c:pt idx="1">
                  <c:v>1</c:v>
                </c:pt>
                <c:pt idx="2">
                  <c:v>0.1</c:v>
                </c:pt>
                <c:pt idx="3">
                  <c:v>0.73</c:v>
                </c:pt>
                <c:pt idx="4">
                  <c:v>0.73</c:v>
                </c:pt>
                <c:pt idx="5">
                  <c:v>0.39</c:v>
                </c:pt>
                <c:pt idx="6">
                  <c:v>0.69</c:v>
                </c:pt>
                <c:pt idx="7">
                  <c:v>0.45</c:v>
                </c:pt>
                <c:pt idx="8">
                  <c:v>0.52</c:v>
                </c:pt>
                <c:pt idx="9">
                  <c:v>0.79</c:v>
                </c:pt>
                <c:pt idx="10">
                  <c:v>0</c:v>
                </c:pt>
                <c:pt idx="11">
                  <c:v>0.41</c:v>
                </c:pt>
                <c:pt idx="12">
                  <c:v>0.44</c:v>
                </c:pt>
                <c:pt idx="13">
                  <c:v>0</c:v>
                </c:pt>
              </c:numCache>
            </c:numRef>
          </c:val>
          <c:shape val="box"/>
        </c:ser>
        <c:ser>
          <c:idx val="3"/>
          <c:order val="3"/>
          <c:tx>
            <c:strRef>
              <c:f>Лист1!$A$5</c:f>
              <c:strCache>
                <c:ptCount val="1"/>
                <c:pt idx="0">
                  <c:v>Доля населения, получившего жилые помещения и улучшившего жилищные условия в отчетном году, в общей численности населения, состоящего на учете в качестве нуждающегося в жилых помещениях</c:v>
                </c:pt>
              </c:strCache>
            </c:strRef>
          </c:tx>
          <c:spPr>
            <a:blipFill>
              <a:blip xmlns:r="http://schemas.openxmlformats.org/officeDocument/2006/relationships" r:embed="rId2"/>
              <a:tile tx="0" ty="0" sx="100000" sy="100000" flip="none" algn="tl"/>
            </a:blipFill>
            <a:ln w="63500"/>
          </c:spPr>
          <c:invertIfNegative val="0"/>
          <c:cat>
            <c:strRef>
              <c:f>Лист1!$B$1:$O$1</c:f>
              <c:strCache>
                <c:ptCount val="14"/>
                <c:pt idx="0">
                  <c:v>Петропавловск-Камчатский</c:v>
                </c:pt>
                <c:pt idx="1">
                  <c:v>Вилючинский</c:v>
                </c:pt>
                <c:pt idx="2">
                  <c:v>п. Палана</c:v>
                </c:pt>
                <c:pt idx="3">
                  <c:v>Алеутский</c:v>
                </c:pt>
                <c:pt idx="4">
                  <c:v>Быстринский</c:v>
                </c:pt>
                <c:pt idx="5">
                  <c:v>Елизовский</c:v>
                </c:pt>
                <c:pt idx="6">
                  <c:v>Мильковский</c:v>
                </c:pt>
                <c:pt idx="7">
                  <c:v>Соболевский</c:v>
                </c:pt>
                <c:pt idx="8">
                  <c:v>Усть-Большерецкий</c:v>
                </c:pt>
                <c:pt idx="9">
                  <c:v>Усть-Камчатский</c:v>
                </c:pt>
                <c:pt idx="10">
                  <c:v>Карагинский</c:v>
                </c:pt>
                <c:pt idx="11">
                  <c:v>Олюторский</c:v>
                </c:pt>
                <c:pt idx="12">
                  <c:v>Пенжинский</c:v>
                </c:pt>
                <c:pt idx="13">
                  <c:v>Тигильский</c:v>
                </c:pt>
              </c:strCache>
            </c:strRef>
          </c:cat>
          <c:val>
            <c:numRef>
              <c:f>Лист1!$B$5:$O$5</c:f>
              <c:numCache>
                <c:formatCode>0.00;[Red]0.00</c:formatCode>
                <c:ptCount val="14"/>
                <c:pt idx="0">
                  <c:v>0</c:v>
                </c:pt>
                <c:pt idx="1">
                  <c:v>1</c:v>
                </c:pt>
                <c:pt idx="2">
                  <c:v>0.48</c:v>
                </c:pt>
                <c:pt idx="3">
                  <c:v>0.25</c:v>
                </c:pt>
                <c:pt idx="4">
                  <c:v>0.25</c:v>
                </c:pt>
                <c:pt idx="5">
                  <c:v>0.13</c:v>
                </c:pt>
                <c:pt idx="6">
                  <c:v>0.18</c:v>
                </c:pt>
                <c:pt idx="7">
                  <c:v>0.46</c:v>
                </c:pt>
                <c:pt idx="8">
                  <c:v>0.23</c:v>
                </c:pt>
                <c:pt idx="9">
                  <c:v>0.2</c:v>
                </c:pt>
                <c:pt idx="10">
                  <c:v>0.33</c:v>
                </c:pt>
                <c:pt idx="11">
                  <c:v>0</c:v>
                </c:pt>
                <c:pt idx="12">
                  <c:v>0.19</c:v>
                </c:pt>
                <c:pt idx="13">
                  <c:v>0.64</c:v>
                </c:pt>
              </c:numCache>
            </c:numRef>
          </c:val>
        </c:ser>
        <c:dLbls>
          <c:showLegendKey val="0"/>
          <c:showVal val="0"/>
          <c:showCatName val="0"/>
          <c:showSerName val="0"/>
          <c:showPercent val="0"/>
          <c:showBubbleSize val="0"/>
        </c:dLbls>
        <c:gapWidth val="112"/>
        <c:gapDepth val="206"/>
        <c:shape val="cylinder"/>
        <c:axId val="183099776"/>
        <c:axId val="183101312"/>
        <c:axId val="0"/>
      </c:bar3DChart>
      <c:catAx>
        <c:axId val="183099776"/>
        <c:scaling>
          <c:orientation val="minMax"/>
        </c:scaling>
        <c:delete val="0"/>
        <c:axPos val="b"/>
        <c:majorGridlines/>
        <c:minorGridlines>
          <c:spPr>
            <a:ln>
              <a:noFill/>
            </a:ln>
          </c:spPr>
        </c:minorGridlines>
        <c:numFmt formatCode="General" sourceLinked="1"/>
        <c:majorTickMark val="out"/>
        <c:minorTickMark val="none"/>
        <c:tickLblPos val="nextTo"/>
        <c:txPr>
          <a:bodyPr rot="-5400000" vert="horz" anchor="ctr" anchorCtr="0"/>
          <a:lstStyle/>
          <a:p>
            <a:pPr>
              <a:defRPr sz="1000" baseline="0"/>
            </a:pPr>
            <a:endParaRPr lang="ru-RU"/>
          </a:p>
        </c:txPr>
        <c:crossAx val="183101312"/>
        <c:crossesAt val="0"/>
        <c:auto val="0"/>
        <c:lblAlgn val="ctr"/>
        <c:lblOffset val="100"/>
        <c:noMultiLvlLbl val="1"/>
      </c:catAx>
      <c:valAx>
        <c:axId val="183101312"/>
        <c:scaling>
          <c:orientation val="minMax"/>
          <c:max val="1"/>
          <c:min val="0"/>
        </c:scaling>
        <c:delete val="1"/>
        <c:axPos val="l"/>
        <c:minorGridlines/>
        <c:numFmt formatCode="0.00;[Red]0.00" sourceLinked="1"/>
        <c:majorTickMark val="out"/>
        <c:minorTickMark val="none"/>
        <c:tickLblPos val="nextTo"/>
        <c:crossAx val="183099776"/>
        <c:crossesAt val="0"/>
        <c:crossBetween val="between"/>
      </c:valAx>
    </c:plotArea>
    <c:legend>
      <c:legendPos val="l"/>
      <c:layout>
        <c:manualLayout>
          <c:xMode val="edge"/>
          <c:yMode val="edge"/>
          <c:x val="8.1967213114754103E-3"/>
          <c:y val="1.0542615227476769E-5"/>
          <c:w val="0.33060109289617484"/>
          <c:h val="0.99788686456034004"/>
        </c:manualLayout>
      </c:layout>
      <c:overlay val="0"/>
      <c:txPr>
        <a:bodyPr/>
        <a:lstStyle/>
        <a:p>
          <a:pPr>
            <a:defRPr sz="900" baseline="0"/>
          </a:pPr>
          <a:endParaRPr lang="ru-RU"/>
        </a:p>
      </c:txPr>
    </c:legend>
    <c:plotVisOnly val="1"/>
    <c:dispBlanksAs val="gap"/>
    <c:showDLblsOverMax val="0"/>
  </c:chart>
  <c:spPr>
    <a:scene3d>
      <a:camera prst="orthographicFront"/>
      <a:lightRig rig="threePt" dir="t"/>
    </a:scene3d>
    <a:sp3d prstMaterial="dkEdge"/>
  </c:sp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40"/>
      <c:rotY val="10"/>
      <c:rAngAx val="1"/>
    </c:view3D>
    <c:floor>
      <c:thickness val="0"/>
      <c:spPr>
        <a:solidFill>
          <a:schemeClr val="accent6">
            <a:lumMod val="60000"/>
            <a:lumOff val="40000"/>
            <a:alpha val="43000"/>
          </a:schemeClr>
        </a:solidFill>
      </c:spPr>
    </c:floor>
    <c:sideWall>
      <c:thickness val="0"/>
    </c:sideWall>
    <c:backWall>
      <c:thickness val="0"/>
    </c:backWall>
    <c:plotArea>
      <c:layout>
        <c:manualLayout>
          <c:layoutTarget val="inner"/>
          <c:xMode val="edge"/>
          <c:yMode val="edge"/>
          <c:x val="0.19600339916526827"/>
          <c:y val="8.4192666293282517E-4"/>
          <c:w val="0.80399660083473168"/>
          <c:h val="0.5040220077092874"/>
        </c:manualLayout>
      </c:layout>
      <c:bar3DChart>
        <c:barDir val="col"/>
        <c:grouping val="clustered"/>
        <c:varyColors val="0"/>
        <c:ser>
          <c:idx val="0"/>
          <c:order val="0"/>
          <c:tx>
            <c:strRef>
              <c:f>Лист1!$B$1</c:f>
              <c:strCache>
                <c:ptCount val="1"/>
                <c:pt idx="0">
                  <c:v>Петропавловск-Камчатский</c:v>
                </c:pt>
              </c:strCache>
            </c:strRef>
          </c:tx>
          <c:spPr>
            <a:blipFill>
              <a:blip xmlns:r="http://schemas.openxmlformats.org/officeDocument/2006/relationships" r:embed="rId1"/>
              <a:tile tx="0" ty="0" sx="100000" sy="100000" flip="none" algn="tl"/>
            </a:blipFill>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Лист1!$B$2:$B$5</c:f>
              <c:numCache>
                <c:formatCode>0.00;[Red]0.00</c:formatCode>
                <c:ptCount val="4"/>
                <c:pt idx="0">
                  <c:v>0.78</c:v>
                </c:pt>
                <c:pt idx="1">
                  <c:v>0.73</c:v>
                </c:pt>
                <c:pt idx="2">
                  <c:v>0</c:v>
                </c:pt>
                <c:pt idx="3">
                  <c:v>0</c:v>
                </c:pt>
              </c:numCache>
            </c:numRef>
          </c:val>
          <c:shape val="box"/>
        </c:ser>
        <c:ser>
          <c:idx val="1"/>
          <c:order val="1"/>
          <c:tx>
            <c:strRef>
              <c:f>Лист1!$C$1</c:f>
              <c:strCache>
                <c:ptCount val="1"/>
                <c:pt idx="0">
                  <c:v>Вилючинский</c:v>
                </c:pt>
              </c:strCache>
            </c:strRef>
          </c:tx>
          <c:spPr>
            <a:blipFill>
              <a:blip xmlns:r="http://schemas.openxmlformats.org/officeDocument/2006/relationships" r:embed="rId2"/>
              <a:tile tx="0" ty="0" sx="100000" sy="100000" flip="none" algn="tl"/>
            </a:blipFill>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Лист1!$C$2:$C$5</c:f>
              <c:numCache>
                <c:formatCode>0.00;[Red]0.00</c:formatCode>
                <c:ptCount val="4"/>
                <c:pt idx="0">
                  <c:v>0.09</c:v>
                </c:pt>
                <c:pt idx="1">
                  <c:v>0</c:v>
                </c:pt>
                <c:pt idx="2">
                  <c:v>0.62</c:v>
                </c:pt>
                <c:pt idx="3">
                  <c:v>0</c:v>
                </c:pt>
              </c:numCache>
            </c:numRef>
          </c:val>
          <c:shape val="box"/>
        </c:ser>
        <c:ser>
          <c:idx val="2"/>
          <c:order val="2"/>
          <c:tx>
            <c:strRef>
              <c:f>Лист1!$D$1</c:f>
              <c:strCache>
                <c:ptCount val="1"/>
                <c:pt idx="0">
                  <c:v>п. Палана</c:v>
                </c:pt>
              </c:strCache>
            </c:strRef>
          </c:tx>
          <c:spPr>
            <a:blipFill>
              <a:blip xmlns:r="http://schemas.openxmlformats.org/officeDocument/2006/relationships" r:embed="rId3"/>
              <a:tile tx="0" ty="0" sx="100000" sy="100000" flip="none" algn="tl"/>
            </a:blipFill>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Лист1!$D$2:$D$5</c:f>
              <c:numCache>
                <c:formatCode>0.00;[Red]0.00</c:formatCode>
                <c:ptCount val="4"/>
                <c:pt idx="0">
                  <c:v>0.6</c:v>
                </c:pt>
                <c:pt idx="1">
                  <c:v>1</c:v>
                </c:pt>
                <c:pt idx="2">
                  <c:v>0.94</c:v>
                </c:pt>
                <c:pt idx="3">
                  <c:v>0</c:v>
                </c:pt>
              </c:numCache>
            </c:numRef>
          </c:val>
          <c:shape val="box"/>
        </c:ser>
        <c:ser>
          <c:idx val="3"/>
          <c:order val="3"/>
          <c:tx>
            <c:strRef>
              <c:f>Лист1!$E$1</c:f>
              <c:strCache>
                <c:ptCount val="1"/>
                <c:pt idx="0">
                  <c:v>Алеутский</c:v>
                </c:pt>
              </c:strCache>
            </c:strRef>
          </c:tx>
          <c:spPr>
            <a:blipFill>
              <a:blip xmlns:r="http://schemas.openxmlformats.org/officeDocument/2006/relationships" r:embed="rId4"/>
              <a:tile tx="0" ty="0" sx="100000" sy="100000" flip="none" algn="tl"/>
            </a:blipFill>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Лист1!$E$2:$E$5</c:f>
              <c:numCache>
                <c:formatCode>0.00;[Red]0.00</c:formatCode>
                <c:ptCount val="4"/>
                <c:pt idx="0">
                  <c:v>0.01</c:v>
                </c:pt>
                <c:pt idx="1">
                  <c:v>1</c:v>
                </c:pt>
                <c:pt idx="2">
                  <c:v>1</c:v>
                </c:pt>
                <c:pt idx="3">
                  <c:v>0</c:v>
                </c:pt>
              </c:numCache>
            </c:numRef>
          </c:val>
          <c:shape val="box"/>
        </c:ser>
        <c:ser>
          <c:idx val="5"/>
          <c:order val="4"/>
          <c:tx>
            <c:strRef>
              <c:f>Лист1!$F$1</c:f>
              <c:strCache>
                <c:ptCount val="1"/>
                <c:pt idx="0">
                  <c:v>Быстринский</c:v>
                </c:pt>
              </c:strCache>
            </c:strRef>
          </c:tx>
          <c:spPr>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Лист1!$F$2:$F$5</c:f>
              <c:numCache>
                <c:formatCode>0.00;[Red]0.00</c:formatCode>
                <c:ptCount val="4"/>
                <c:pt idx="0">
                  <c:v>0.08</c:v>
                </c:pt>
                <c:pt idx="1">
                  <c:v>1</c:v>
                </c:pt>
                <c:pt idx="2">
                  <c:v>1</c:v>
                </c:pt>
                <c:pt idx="3">
                  <c:v>0</c:v>
                </c:pt>
              </c:numCache>
            </c:numRef>
          </c:val>
          <c:shape val="box"/>
        </c:ser>
        <c:ser>
          <c:idx val="6"/>
          <c:order val="5"/>
          <c:tx>
            <c:strRef>
              <c:f>Лист1!$G$1</c:f>
              <c:strCache>
                <c:ptCount val="1"/>
                <c:pt idx="0">
                  <c:v>Елизовский</c:v>
                </c:pt>
              </c:strCache>
            </c:strRef>
          </c:tx>
          <c:spPr>
            <a:pattFill prst="wdUpDiag">
              <a:fgClr>
                <a:srgbClr val="7030A0"/>
              </a:fgClr>
              <a:bgClr>
                <a:schemeClr val="accent3"/>
              </a:bgClr>
            </a:pattFill>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Лист1!$G$2:$G$5</c:f>
              <c:numCache>
                <c:formatCode>0.00;[Red]0.00</c:formatCode>
                <c:ptCount val="4"/>
                <c:pt idx="0">
                  <c:v>0.81</c:v>
                </c:pt>
                <c:pt idx="1">
                  <c:v>1</c:v>
                </c:pt>
                <c:pt idx="2">
                  <c:v>1</c:v>
                </c:pt>
                <c:pt idx="3">
                  <c:v>0</c:v>
                </c:pt>
              </c:numCache>
            </c:numRef>
          </c:val>
          <c:shape val="box"/>
        </c:ser>
        <c:ser>
          <c:idx val="4"/>
          <c:order val="6"/>
          <c:tx>
            <c:strRef>
              <c:f>Лист1!$H$1</c:f>
              <c:strCache>
                <c:ptCount val="1"/>
                <c:pt idx="0">
                  <c:v>Мильковский</c:v>
                </c:pt>
              </c:strCache>
            </c:strRef>
          </c:tx>
          <c:spPr>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Лист1!$H$2:$H$5</c:f>
              <c:numCache>
                <c:formatCode>0.00;[Red]0.00</c:formatCode>
                <c:ptCount val="4"/>
                <c:pt idx="0">
                  <c:v>0.66</c:v>
                </c:pt>
                <c:pt idx="1">
                  <c:v>0</c:v>
                </c:pt>
                <c:pt idx="2">
                  <c:v>1</c:v>
                </c:pt>
                <c:pt idx="3">
                  <c:v>0</c:v>
                </c:pt>
              </c:numCache>
            </c:numRef>
          </c:val>
          <c:shape val="box"/>
        </c:ser>
        <c:ser>
          <c:idx val="7"/>
          <c:order val="7"/>
          <c:tx>
            <c:strRef>
              <c:f>Лист1!$I$1</c:f>
              <c:strCache>
                <c:ptCount val="1"/>
                <c:pt idx="0">
                  <c:v>Соболевский</c:v>
                </c:pt>
              </c:strCache>
            </c:strRef>
          </c:tx>
          <c:spPr>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Лист1!$I$2:$I$5</c:f>
              <c:numCache>
                <c:formatCode>0.00;[Red]0.00</c:formatCode>
                <c:ptCount val="4"/>
                <c:pt idx="0">
                  <c:v>0.44</c:v>
                </c:pt>
                <c:pt idx="1">
                  <c:v>1</c:v>
                </c:pt>
                <c:pt idx="2">
                  <c:v>0.39955871161901313</c:v>
                </c:pt>
                <c:pt idx="3">
                  <c:v>0</c:v>
                </c:pt>
              </c:numCache>
            </c:numRef>
          </c:val>
          <c:shape val="box"/>
        </c:ser>
        <c:ser>
          <c:idx val="8"/>
          <c:order val="8"/>
          <c:tx>
            <c:strRef>
              <c:f>Лист1!$J$1</c:f>
              <c:strCache>
                <c:ptCount val="1"/>
                <c:pt idx="0">
                  <c:v>Усть-Большерецкий</c:v>
                </c:pt>
              </c:strCache>
            </c:strRef>
          </c:tx>
          <c:spPr>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Лист1!$J$2:$J$5</c:f>
              <c:numCache>
                <c:formatCode>0.00;[Red]0.00</c:formatCode>
                <c:ptCount val="4"/>
                <c:pt idx="0">
                  <c:v>0.38</c:v>
                </c:pt>
                <c:pt idx="1">
                  <c:v>1</c:v>
                </c:pt>
                <c:pt idx="2">
                  <c:v>0</c:v>
                </c:pt>
                <c:pt idx="3">
                  <c:v>0</c:v>
                </c:pt>
              </c:numCache>
            </c:numRef>
          </c:val>
          <c:shape val="box"/>
        </c:ser>
        <c:ser>
          <c:idx val="9"/>
          <c:order val="9"/>
          <c:tx>
            <c:strRef>
              <c:f>Лист1!$K$1</c:f>
              <c:strCache>
                <c:ptCount val="1"/>
                <c:pt idx="0">
                  <c:v>Усть-Камчатский</c:v>
                </c:pt>
              </c:strCache>
            </c:strRef>
          </c:tx>
          <c:spPr>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Лист1!$K$2:$K$5</c:f>
              <c:numCache>
                <c:formatCode>0.00;[Red]0.00</c:formatCode>
                <c:ptCount val="4"/>
                <c:pt idx="0">
                  <c:v>0.15</c:v>
                </c:pt>
                <c:pt idx="1">
                  <c:v>1</c:v>
                </c:pt>
                <c:pt idx="2">
                  <c:v>1</c:v>
                </c:pt>
                <c:pt idx="3">
                  <c:v>0</c:v>
                </c:pt>
              </c:numCache>
            </c:numRef>
          </c:val>
          <c:shape val="box"/>
        </c:ser>
        <c:ser>
          <c:idx val="10"/>
          <c:order val="10"/>
          <c:tx>
            <c:strRef>
              <c:f>Лист1!$L$1</c:f>
              <c:strCache>
                <c:ptCount val="1"/>
                <c:pt idx="0">
                  <c:v>Карагинский</c:v>
                </c:pt>
              </c:strCache>
            </c:strRef>
          </c:tx>
          <c:spPr>
            <a:ln w="63500"/>
          </c:spPr>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Лист1!$L$2:$L$5</c:f>
              <c:numCache>
                <c:formatCode>0.00;[Red]0.00</c:formatCode>
                <c:ptCount val="4"/>
                <c:pt idx="0">
                  <c:v>0.56000000000000005</c:v>
                </c:pt>
                <c:pt idx="1">
                  <c:v>1</c:v>
                </c:pt>
                <c:pt idx="2">
                  <c:v>1</c:v>
                </c:pt>
                <c:pt idx="3">
                  <c:v>0</c:v>
                </c:pt>
              </c:numCache>
            </c:numRef>
          </c:val>
          <c:shape val="box"/>
        </c:ser>
        <c:ser>
          <c:idx val="11"/>
          <c:order val="11"/>
          <c:tx>
            <c:strRef>
              <c:f>Лист1!$M$1</c:f>
              <c:strCache>
                <c:ptCount val="1"/>
                <c:pt idx="0">
                  <c:v>Олюторский</c:v>
                </c:pt>
              </c:strCache>
            </c:strRef>
          </c:tx>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Лист1!$M$2:$M$5</c:f>
              <c:numCache>
                <c:formatCode>0.00;[Red]0.00</c:formatCode>
                <c:ptCount val="4"/>
                <c:pt idx="0">
                  <c:v>0.51</c:v>
                </c:pt>
                <c:pt idx="1">
                  <c:v>1</c:v>
                </c:pt>
                <c:pt idx="2">
                  <c:v>0.35</c:v>
                </c:pt>
                <c:pt idx="3">
                  <c:v>0</c:v>
                </c:pt>
              </c:numCache>
            </c:numRef>
          </c:val>
          <c:shape val="box"/>
        </c:ser>
        <c:ser>
          <c:idx val="12"/>
          <c:order val="12"/>
          <c:tx>
            <c:strRef>
              <c:f>Лист1!$N$1</c:f>
              <c:strCache>
                <c:ptCount val="1"/>
                <c:pt idx="0">
                  <c:v>Пенжинский</c:v>
                </c:pt>
              </c:strCache>
            </c:strRef>
          </c:tx>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Лист1!$N$2:$N$5</c:f>
              <c:numCache>
                <c:formatCode>0.00;[Red]0.00</c:formatCode>
                <c:ptCount val="4"/>
                <c:pt idx="0">
                  <c:v>0.28000000000000003</c:v>
                </c:pt>
                <c:pt idx="1">
                  <c:v>1</c:v>
                </c:pt>
                <c:pt idx="2">
                  <c:v>1</c:v>
                </c:pt>
                <c:pt idx="3">
                  <c:v>0</c:v>
                </c:pt>
              </c:numCache>
            </c:numRef>
          </c:val>
          <c:shape val="box"/>
        </c:ser>
        <c:ser>
          <c:idx val="13"/>
          <c:order val="13"/>
          <c:tx>
            <c:strRef>
              <c:f>Лист1!$O$1</c:f>
              <c:strCache>
                <c:ptCount val="1"/>
                <c:pt idx="0">
                  <c:v>Тигильский</c:v>
                </c:pt>
              </c:strCache>
            </c:strRef>
          </c:tx>
          <c:invertIfNegative val="0"/>
          <c:cat>
            <c:strRef>
              <c:f>Лист1!$A$2:$A$5</c:f>
              <c:strCache>
                <c:ptCount val="4"/>
                <c:pt idx="0">
                  <c:v>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c:v>
                </c:pt>
                <c:pt idx="1">
                  <c:v>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c:v>
                </c:pt>
                <c:pt idx="2">
                  <c:v>Объем не завершенного в установленные сроки строительства, осуществляемого за счет средств бюджета городского округа (муниципального района)</c:v>
                </c:pt>
                <c:pt idx="3">
                  <c:v>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c:v>
                </c:pt>
              </c:strCache>
            </c:strRef>
          </c:cat>
          <c:val>
            <c:numRef>
              <c:f>Лист1!$O$2:$O$5</c:f>
              <c:numCache>
                <c:formatCode>0.00;[Red]0.00</c:formatCode>
                <c:ptCount val="4"/>
                <c:pt idx="0">
                  <c:v>0.83</c:v>
                </c:pt>
                <c:pt idx="1">
                  <c:v>1</c:v>
                </c:pt>
                <c:pt idx="2">
                  <c:v>1</c:v>
                </c:pt>
                <c:pt idx="3">
                  <c:v>0</c:v>
                </c:pt>
              </c:numCache>
            </c:numRef>
          </c:val>
          <c:shape val="box"/>
        </c:ser>
        <c:dLbls>
          <c:showLegendKey val="0"/>
          <c:showVal val="0"/>
          <c:showCatName val="0"/>
          <c:showSerName val="0"/>
          <c:showPercent val="0"/>
          <c:showBubbleSize val="0"/>
        </c:dLbls>
        <c:gapWidth val="112"/>
        <c:gapDepth val="206"/>
        <c:shape val="cylinder"/>
        <c:axId val="192553728"/>
        <c:axId val="192555264"/>
        <c:axId val="0"/>
      </c:bar3DChart>
      <c:catAx>
        <c:axId val="192553728"/>
        <c:scaling>
          <c:orientation val="minMax"/>
        </c:scaling>
        <c:delete val="0"/>
        <c:axPos val="b"/>
        <c:majorGridlines/>
        <c:minorGridlines>
          <c:spPr>
            <a:ln>
              <a:noFill/>
            </a:ln>
          </c:spPr>
        </c:minorGridlines>
        <c:numFmt formatCode="General" sourceLinked="1"/>
        <c:majorTickMark val="out"/>
        <c:minorTickMark val="none"/>
        <c:tickLblPos val="nextTo"/>
        <c:txPr>
          <a:bodyPr rot="-5400000" vert="horz" anchor="ctr" anchorCtr="0"/>
          <a:lstStyle/>
          <a:p>
            <a:pPr>
              <a:defRPr sz="1150" baseline="0"/>
            </a:pPr>
            <a:endParaRPr lang="ru-RU"/>
          </a:p>
        </c:txPr>
        <c:crossAx val="192555264"/>
        <c:crossesAt val="0"/>
        <c:auto val="0"/>
        <c:lblAlgn val="ctr"/>
        <c:lblOffset val="100"/>
        <c:noMultiLvlLbl val="1"/>
      </c:catAx>
      <c:valAx>
        <c:axId val="192555264"/>
        <c:scaling>
          <c:orientation val="minMax"/>
          <c:max val="1"/>
          <c:min val="0"/>
        </c:scaling>
        <c:delete val="1"/>
        <c:axPos val="l"/>
        <c:minorGridlines/>
        <c:numFmt formatCode="0.00;[Red]0.00" sourceLinked="1"/>
        <c:majorTickMark val="out"/>
        <c:minorTickMark val="none"/>
        <c:tickLblPos val="nextTo"/>
        <c:crossAx val="192553728"/>
        <c:crossesAt val="0"/>
        <c:crossBetween val="between"/>
      </c:valAx>
      <c:dTable>
        <c:showHorzBorder val="1"/>
        <c:showVertBorder val="1"/>
        <c:showOutline val="1"/>
        <c:showKeys val="1"/>
        <c:txPr>
          <a:bodyPr/>
          <a:lstStyle/>
          <a:p>
            <a:pPr rtl="0">
              <a:defRPr sz="600"/>
            </a:pPr>
            <a:endParaRPr lang="ru-RU"/>
          </a:p>
        </c:txPr>
      </c:dTable>
    </c:plotArea>
    <c:plotVisOnly val="1"/>
    <c:dispBlanksAs val="gap"/>
    <c:showDLblsOverMax val="0"/>
  </c:chart>
  <c:spPr>
    <a:scene3d>
      <a:camera prst="orthographicFront"/>
      <a:lightRig rig="threePt" dir="t"/>
    </a:scene3d>
    <a:sp3d prstMaterial="dkEdge"/>
  </c:spPr>
  <c:externalData r:id="rId5">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9881F4-1123-408D-8AAD-FFA4B3E37B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43</Pages>
  <Words>10691</Words>
  <Characters>60941</Characters>
  <Application>Microsoft Office Word</Application>
  <DocSecurity>0</DocSecurity>
  <Lines>507</Lines>
  <Paragraphs>142</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71490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Логинова Евгения Николаевна</dc:creator>
  <cp:lastModifiedBy>Самохина Олеся Алексеевна</cp:lastModifiedBy>
  <cp:revision>2</cp:revision>
  <cp:lastPrinted>2015-09-30T02:06:00Z</cp:lastPrinted>
  <dcterms:created xsi:type="dcterms:W3CDTF">2015-12-17T01:32:00Z</dcterms:created>
  <dcterms:modified xsi:type="dcterms:W3CDTF">2015-12-17T01:32:00Z</dcterms:modified>
</cp:coreProperties>
</file>