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outlineLvl w:val="0"/>
        <w:rPr>
          <w:b w:val="1"/>
          <w:color w:val="1C1C1C"/>
          <w:sz w:val="28"/>
        </w:rPr>
      </w:pPr>
      <w:r>
        <w:rPr>
          <w:b w:val="1"/>
          <w:color w:val="1C1C1C"/>
          <w:sz w:val="28"/>
        </w:rPr>
        <w:t xml:space="preserve">С 19 апреля 2024 года стартует </w:t>
      </w:r>
      <w:r>
        <w:rPr>
          <w:b w:val="1"/>
          <w:color w:val="1C1C1C"/>
          <w:sz w:val="28"/>
        </w:rPr>
        <w:t>К</w:t>
      </w:r>
      <w:r>
        <w:rPr>
          <w:b w:val="1"/>
          <w:color w:val="1C1C1C"/>
          <w:sz w:val="28"/>
        </w:rPr>
        <w:t xml:space="preserve">онкурс </w:t>
      </w:r>
      <w:r>
        <w:rPr>
          <w:b w:val="1"/>
          <w:color w:val="1C1C1C"/>
          <w:sz w:val="28"/>
        </w:rPr>
        <w:t>«Л</w:t>
      </w:r>
      <w:r>
        <w:rPr>
          <w:b w:val="1"/>
          <w:color w:val="1C1C1C"/>
          <w:sz w:val="28"/>
        </w:rPr>
        <w:t>учши</w:t>
      </w:r>
      <w:r>
        <w:rPr>
          <w:b w:val="1"/>
          <w:color w:val="1C1C1C"/>
          <w:sz w:val="28"/>
        </w:rPr>
        <w:t>е</w:t>
      </w:r>
      <w:r>
        <w:rPr>
          <w:b w:val="1"/>
          <w:color w:val="1C1C1C"/>
          <w:sz w:val="28"/>
        </w:rPr>
        <w:t xml:space="preserve"> практик</w:t>
      </w:r>
      <w:r>
        <w:rPr>
          <w:b w:val="1"/>
          <w:color w:val="1C1C1C"/>
          <w:sz w:val="28"/>
        </w:rPr>
        <w:t>и</w:t>
      </w:r>
      <w:r>
        <w:rPr>
          <w:b w:val="1"/>
          <w:color w:val="1C1C1C"/>
          <w:sz w:val="28"/>
        </w:rPr>
        <w:t xml:space="preserve"> наставничества</w:t>
      </w:r>
      <w:r>
        <w:rPr>
          <w:b w:val="1"/>
          <w:color w:val="1C1C1C"/>
          <w:sz w:val="28"/>
        </w:rPr>
        <w:t xml:space="preserve"> Камчатского края – 2024»</w:t>
      </w:r>
    </w:p>
    <w:p w14:paraId="02000000">
      <w:pPr>
        <w:spacing w:after="0" w:line="240" w:lineRule="auto"/>
        <w:ind/>
        <w:outlineLvl w:val="0"/>
        <w:rPr>
          <w:b w:val="1"/>
          <w:color w:val="1C1C1C"/>
          <w:sz w:val="28"/>
        </w:rPr>
      </w:pPr>
    </w:p>
    <w:p w14:paraId="03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>Цел</w:t>
      </w:r>
      <w:r>
        <w:rPr>
          <w:sz w:val="28"/>
        </w:rPr>
        <w:t>ями</w:t>
      </w:r>
      <w:r>
        <w:rPr>
          <w:sz w:val="28"/>
        </w:rPr>
        <w:t xml:space="preserve"> Конкурса явля</w:t>
      </w:r>
      <w:r>
        <w:rPr>
          <w:sz w:val="28"/>
        </w:rPr>
        <w:t>ют</w:t>
      </w:r>
      <w:r>
        <w:rPr>
          <w:sz w:val="28"/>
        </w:rPr>
        <w:t>ся</w:t>
      </w:r>
      <w:r>
        <w:rPr>
          <w:sz w:val="28"/>
        </w:rPr>
        <w:t>:</w:t>
      </w:r>
      <w:r>
        <w:rPr>
          <w:sz w:val="28"/>
        </w:rPr>
        <w:t xml:space="preserve"> выявление и распространение передового практического опыта наставничества, популяризаци</w:t>
      </w:r>
      <w:r>
        <w:rPr>
          <w:sz w:val="28"/>
        </w:rPr>
        <w:t>я</w:t>
      </w:r>
      <w:r>
        <w:rPr>
          <w:sz w:val="28"/>
        </w:rPr>
        <w:t xml:space="preserve"> организационных решений для повышения производительности труда, создани</w:t>
      </w:r>
      <w:r>
        <w:rPr>
          <w:sz w:val="28"/>
        </w:rPr>
        <w:t>е</w:t>
      </w:r>
      <w:r>
        <w:rPr>
          <w:sz w:val="28"/>
        </w:rPr>
        <w:t xml:space="preserve"> условий для раскрытия и эффективного использования личностного и профессионального потенциала работников предприятий.</w:t>
      </w:r>
    </w:p>
    <w:p w14:paraId="04000000">
      <w:pPr>
        <w:spacing w:after="0" w:line="240" w:lineRule="auto"/>
        <w:ind w:firstLine="709" w:left="0"/>
        <w:jc w:val="both"/>
        <w:rPr>
          <w:sz w:val="28"/>
        </w:rPr>
      </w:pPr>
    </w:p>
    <w:p w14:paraId="05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>В конкурсе могут принять участие:</w:t>
      </w:r>
    </w:p>
    <w:p w14:paraId="06000000">
      <w:pPr>
        <w:spacing w:after="0" w:line="240" w:lineRule="auto"/>
        <w:ind w:firstLine="709" w:left="0"/>
        <w:jc w:val="both"/>
        <w:rPr>
          <w:sz w:val="28"/>
        </w:rPr>
      </w:pP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sz w:val="28"/>
        </w:rPr>
        <w:t xml:space="preserve">1) </w:t>
      </w:r>
      <w:r>
        <w:rPr>
          <w:b w:val="1"/>
          <w:i w:val="1"/>
          <w:sz w:val="28"/>
        </w:rPr>
        <w:t>предприятия – участники национального проекта</w:t>
      </w:r>
      <w:r>
        <w:rPr>
          <w:i w:val="1"/>
          <w:sz w:val="28"/>
        </w:rPr>
        <w:t xml:space="preserve"> </w:t>
      </w:r>
      <w:r>
        <w:rPr>
          <w:b w:val="1"/>
          <w:i w:val="1"/>
          <w:sz w:val="28"/>
        </w:rPr>
        <w:t>«Производительность труда»</w:t>
      </w:r>
      <w:r>
        <w:rPr>
          <w:b w:val="1"/>
          <w:sz w:val="28"/>
        </w:rPr>
        <w:t xml:space="preserve"> </w:t>
      </w:r>
      <w:r>
        <w:rPr>
          <w:b w:val="0"/>
          <w:sz w:val="28"/>
        </w:rPr>
        <w:t>(</w:t>
      </w:r>
      <w:r>
        <w:rPr>
          <w:b w:val="0"/>
          <w:sz w:val="28"/>
          <w:u w:val="single"/>
          <w:shd w:fill="FFD821" w:val="clear"/>
        </w:rPr>
        <w:t>в номинаци</w:t>
      </w:r>
      <w:r>
        <w:rPr>
          <w:rFonts w:ascii="Times New Roman" w:hAnsi="Times New Roman"/>
          <w:b w:val="0"/>
          <w:sz w:val="28"/>
          <w:u w:val="single"/>
          <w:shd w:fill="FFD821" w:val="clear"/>
        </w:rPr>
        <w:t xml:space="preserve">ях: </w:t>
      </w:r>
      <w:r>
        <w:rPr>
          <w:rFonts w:ascii="Times New Roman" w:hAnsi="Times New Roman"/>
          <w:b w:val="0"/>
          <w:sz w:val="28"/>
          <w:u w:val="single"/>
          <w:shd w:fill="FFD821" w:val="clear"/>
        </w:rPr>
        <w:t xml:space="preserve">«Прорывные технологии повышения производительности труда», </w:t>
      </w:r>
      <w:r>
        <w:rPr>
          <w:rFonts w:ascii="Times New Roman" w:hAnsi="Times New Roman"/>
          <w:b w:val="0"/>
          <w:sz w:val="28"/>
          <w:u w:val="single"/>
          <w:shd w:fill="FFD821" w:val="clear"/>
        </w:rPr>
        <w:t>«Профессиональное развитие молодежи»,</w:t>
      </w:r>
      <w:r>
        <w:rPr>
          <w:rFonts w:ascii="Times New Roman" w:hAnsi="Times New Roman"/>
          <w:b w:val="0"/>
          <w:sz w:val="28"/>
          <w:u w:val="single"/>
          <w:shd w:fill="FFD821" w:val="clear"/>
        </w:rPr>
        <w:t xml:space="preserve"> «Цифровые инновации на предприятии»</w:t>
      </w:r>
      <w:r>
        <w:rPr>
          <w:rFonts w:ascii="Times New Roman" w:hAnsi="Times New Roman"/>
          <w:b w:val="0"/>
          <w:sz w:val="28"/>
        </w:rPr>
        <w:t>)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b w:val="1"/>
          <w:sz w:val="28"/>
        </w:rPr>
        <w:t xml:space="preserve">2) </w:t>
      </w:r>
      <w:r>
        <w:rPr>
          <w:b w:val="1"/>
          <w:i w:val="1"/>
          <w:sz w:val="28"/>
        </w:rPr>
        <w:t>организации сферы индустрии гостеприимства,</w:t>
      </w:r>
      <w:r>
        <w:rPr>
          <w:sz w:val="28"/>
        </w:rPr>
        <w:t xml:space="preserve"> осуществляющие следующие виды деятельности:</w:t>
      </w:r>
    </w:p>
    <w:p w14:paraId="0A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– </w:t>
      </w:r>
      <w:r>
        <w:rPr>
          <w:rFonts w:ascii="Times New Roman" w:hAnsi="Times New Roman"/>
          <w:sz w:val="28"/>
        </w:rPr>
        <w:t>деятельность по предоставлению мест для временного проживания</w:t>
      </w:r>
      <w:r>
        <w:rPr>
          <w:sz w:val="28"/>
        </w:rPr>
        <w:t>;</w:t>
      </w:r>
    </w:p>
    <w:p w14:paraId="0B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>– д</w:t>
      </w:r>
      <w:r>
        <w:rPr>
          <w:rFonts w:ascii="Times New Roman" w:hAnsi="Times New Roman"/>
          <w:sz w:val="28"/>
        </w:rPr>
        <w:t>еятельность по предоставлению продуктов питания и напитков;</w:t>
      </w:r>
    </w:p>
    <w:p w14:paraId="0C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– </w:t>
      </w:r>
      <w:r>
        <w:rPr>
          <w:rFonts w:ascii="Times New Roman" w:hAnsi="Times New Roman"/>
          <w:sz w:val="28"/>
        </w:rPr>
        <w:t>деятельность туристических агентств и прочих организаций, предоставляющих услуги в сфере туризма;</w:t>
      </w:r>
    </w:p>
    <w:p w14:paraId="0D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– </w:t>
      </w:r>
      <w:r>
        <w:rPr>
          <w:rFonts w:ascii="Times New Roman" w:hAnsi="Times New Roman"/>
          <w:sz w:val="28"/>
        </w:rPr>
        <w:t>деятельность творческая, деятельность в области искусства и организации развлечений;</w:t>
      </w:r>
    </w:p>
    <w:p w14:paraId="0E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– </w:t>
      </w:r>
      <w:r>
        <w:rPr>
          <w:rFonts w:ascii="Times New Roman" w:hAnsi="Times New Roman"/>
          <w:sz w:val="28"/>
        </w:rPr>
        <w:t>деятельность библиотек, архивов, музеев и прочих объектов культуры;</w:t>
      </w:r>
    </w:p>
    <w:p w14:paraId="0F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– </w:t>
      </w:r>
      <w:r>
        <w:rPr>
          <w:rFonts w:ascii="Times New Roman" w:hAnsi="Times New Roman"/>
          <w:sz w:val="28"/>
        </w:rPr>
        <w:t>деятельность в области спорта, отдыха и развлечений;</w:t>
      </w:r>
    </w:p>
    <w:p w14:paraId="10000000">
      <w:pPr>
        <w:spacing w:after="0"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(</w:t>
      </w:r>
      <w:r>
        <w:rPr>
          <w:b w:val="0"/>
          <w:sz w:val="28"/>
          <w:u w:val="single"/>
          <w:shd w:fill="FFD821" w:val="clear"/>
        </w:rPr>
        <w:t>в</w:t>
      </w:r>
      <w:r>
        <w:rPr>
          <w:b w:val="0"/>
          <w:sz w:val="28"/>
          <w:u w:val="single"/>
          <w:shd w:fill="FFD821" w:val="clear"/>
        </w:rPr>
        <w:t xml:space="preserve"> специальной номинации «Наставничество в индустрии гостеприимства»</w:t>
      </w:r>
      <w:r>
        <w:rPr>
          <w:b w:val="0"/>
          <w:sz w:val="28"/>
        </w:rPr>
        <w:t>)</w:t>
      </w:r>
    </w:p>
    <w:p w14:paraId="11000000">
      <w:pPr>
        <w:spacing w:after="0" w:line="240" w:lineRule="auto"/>
        <w:ind w:firstLine="709" w:left="0"/>
        <w:jc w:val="both"/>
        <w:rPr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b w:val="1"/>
          <w:sz w:val="28"/>
        </w:rPr>
        <w:t>3)</w:t>
      </w:r>
      <w:r>
        <w:rPr>
          <w:b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 xml:space="preserve">предприятия, </w:t>
      </w:r>
      <w:r>
        <w:rPr>
          <w:rFonts w:ascii="Times New Roman" w:hAnsi="Times New Roman"/>
          <w:b w:val="1"/>
          <w:i w:val="1"/>
          <w:sz w:val="28"/>
        </w:rPr>
        <w:t xml:space="preserve">не являющиеся участниками национального </w:t>
      </w:r>
      <w:r>
        <w:rPr>
          <w:rFonts w:ascii="Times New Roman" w:hAnsi="Times New Roman"/>
          <w:b w:val="1"/>
          <w:i w:val="1"/>
          <w:sz w:val="28"/>
        </w:rPr>
        <w:t>проекта «Производительность труда» в Камчатском крае</w:t>
      </w:r>
      <w:r>
        <w:rPr>
          <w:rFonts w:ascii="Times New Roman" w:hAnsi="Times New Roman"/>
          <w:sz w:val="28"/>
        </w:rPr>
        <w:t>, осуществляющие свою</w:t>
      </w:r>
      <w:r>
        <w:rPr>
          <w:rStyle w:val="Style_1_ch"/>
          <w:rFonts w:ascii="Times New Roman" w:hAnsi="Times New Roman"/>
          <w:sz w:val="28"/>
        </w:rPr>
        <w:t xml:space="preserve"> деятельность в одной из следующих отраслей: </w:t>
      </w:r>
      <w:r>
        <w:rPr>
          <w:rStyle w:val="Style_1_ch"/>
          <w:rFonts w:ascii="Times New Roman" w:hAnsi="Times New Roman"/>
          <w:sz w:val="28"/>
        </w:rPr>
        <w:t xml:space="preserve">обрабатывающее производство; сельское хозяйство; транспортировка и хранение; строительство; торговля; туризм; образование; обеспечение электрической энергией, газом и паром; кондиционирование воздуха, водоснабжение, водоотведение, организация сбора и утилизация отходов; деятельность гостиниц и предприятий общественного питания </w:t>
      </w:r>
      <w:r>
        <w:rPr>
          <w:b w:val="0"/>
          <w:sz w:val="28"/>
        </w:rPr>
        <w:t>(</w:t>
      </w:r>
      <w:r>
        <w:rPr>
          <w:b w:val="0"/>
          <w:sz w:val="28"/>
          <w:u w:val="single"/>
          <w:shd w:fill="FFD821" w:val="clear"/>
        </w:rPr>
        <w:t xml:space="preserve">в специальной номинации </w:t>
      </w:r>
      <w:r>
        <w:rPr>
          <w:rFonts w:ascii="Times New Roman" w:hAnsi="Times New Roman"/>
          <w:b w:val="0"/>
          <w:sz w:val="28"/>
          <w:u w:val="single"/>
          <w:shd w:fill="FFD821" w:val="clear"/>
        </w:rPr>
        <w:t>«Лучшие практики наставничества по повышению производительности труда»</w:t>
      </w:r>
      <w:r>
        <w:rPr>
          <w:rFonts w:ascii="Times New Roman" w:hAnsi="Times New Roman"/>
          <w:b w:val="0"/>
          <w:sz w:val="28"/>
        </w:rPr>
        <w:t>)</w:t>
      </w:r>
    </w:p>
    <w:p w14:paraId="13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4000000">
      <w:pPr>
        <w:spacing w:after="0" w:line="240" w:lineRule="auto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Конкурс проходит в несколько этапов:</w:t>
      </w:r>
    </w:p>
    <w:p w14:paraId="15000000">
      <w:pPr>
        <w:spacing w:after="0" w:line="240" w:lineRule="auto"/>
        <w:ind w:firstLine="709" w:left="0"/>
        <w:jc w:val="both"/>
        <w:rPr>
          <w:b w:val="1"/>
          <w:sz w:val="28"/>
        </w:rPr>
      </w:pPr>
    </w:p>
    <w:p w14:paraId="16000000">
      <w:pPr>
        <w:numPr>
          <w:numId w:val="1"/>
        </w:numPr>
        <w:spacing w:after="0" w:line="240" w:lineRule="auto"/>
        <w:ind w:firstLine="709" w:left="0"/>
        <w:jc w:val="both"/>
        <w:rPr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 xml:space="preserve">рием заявок на участие в Конкурсе принимается </w:t>
      </w:r>
      <w:r>
        <w:rPr>
          <w:b w:val="1"/>
          <w:sz w:val="28"/>
        </w:rPr>
        <w:t>с 20 мая</w:t>
      </w:r>
      <w:r>
        <w:rPr>
          <w:b w:val="1"/>
          <w:sz w:val="28"/>
        </w:rPr>
        <w:t xml:space="preserve"> 202</w:t>
      </w:r>
      <w:r>
        <w:rPr>
          <w:b w:val="1"/>
          <w:sz w:val="28"/>
        </w:rPr>
        <w:t xml:space="preserve">4 </w:t>
      </w:r>
      <w:r>
        <w:rPr>
          <w:b w:val="1"/>
          <w:sz w:val="28"/>
        </w:rPr>
        <w:t>года по 2</w:t>
      </w:r>
      <w:r>
        <w:rPr>
          <w:b w:val="1"/>
          <w:sz w:val="28"/>
        </w:rPr>
        <w:t>0 июня</w:t>
      </w:r>
      <w:r>
        <w:rPr>
          <w:b w:val="1"/>
          <w:sz w:val="28"/>
        </w:rPr>
        <w:t xml:space="preserve"> 2024</w:t>
      </w:r>
      <w:r>
        <w:rPr>
          <w:b w:val="1"/>
          <w:sz w:val="28"/>
        </w:rPr>
        <w:t xml:space="preserve"> года</w:t>
      </w:r>
      <w:r>
        <w:rPr>
          <w:sz w:val="28"/>
        </w:rPr>
        <w:t>.</w:t>
      </w:r>
    </w:p>
    <w:p w14:paraId="17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>У</w:t>
      </w:r>
      <w:r>
        <w:rPr>
          <w:sz w:val="28"/>
        </w:rPr>
        <w:t xml:space="preserve">частники Конкурса направляют </w:t>
      </w:r>
      <w:r>
        <w:rPr>
          <w:sz w:val="28"/>
        </w:rPr>
        <w:t xml:space="preserve">на электронный адрес Министерства </w:t>
      </w:r>
      <w:r>
        <w:rPr>
          <w:color w:val="0070C0"/>
          <w:sz w:val="28"/>
        </w:rPr>
        <w:fldChar w:fldCharType="begin"/>
      </w:r>
      <w:r>
        <w:rPr>
          <w:color w:val="0070C0"/>
          <w:sz w:val="28"/>
        </w:rPr>
        <w:instrText>HYPERLINK "mailto:econ@kamgov.ru"</w:instrText>
      </w:r>
      <w:r>
        <w:rPr>
          <w:color w:val="0070C0"/>
          <w:sz w:val="28"/>
        </w:rPr>
        <w:fldChar w:fldCharType="separate"/>
      </w:r>
      <w:r>
        <w:rPr>
          <w:color w:val="0070C0"/>
          <w:sz w:val="28"/>
        </w:rPr>
        <w:t>SamohinaOA@kamgov.ru</w:t>
      </w:r>
      <w:r>
        <w:rPr>
          <w:color w:val="0070C0"/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 xml:space="preserve">заявку на участие и согласие на обработку персональных данных по формам, утвержденным </w:t>
      </w:r>
      <w:r>
        <w:rPr>
          <w:sz w:val="28"/>
        </w:rPr>
        <w:t xml:space="preserve">Распоряжением </w:t>
      </w:r>
      <w:r>
        <w:rPr>
          <w:sz w:val="28"/>
        </w:rPr>
        <w:t>Губернатора Камчатского края от 13.03.2024 №</w:t>
      </w:r>
      <w:r>
        <w:rPr>
          <w:sz w:val="28"/>
        </w:rPr>
        <w:t xml:space="preserve"> 135-Р (в редакции от 09.04.2024 № 190)</w:t>
      </w:r>
      <w:r>
        <w:rPr>
          <w:sz w:val="28"/>
        </w:rPr>
        <w:t xml:space="preserve">. </w:t>
      </w:r>
      <w:r>
        <w:rPr>
          <w:sz w:val="28"/>
        </w:rPr>
        <w:t>К за</w:t>
      </w:r>
      <w:r>
        <w:rPr>
          <w:sz w:val="28"/>
        </w:rPr>
        <w:t>явке прилагаются материалы, содержащие исчерпывающее описание практики в соответствии с номинациями (специальными номинациями) Конкурса. Дополнительно к конкурсным материалам могут прилагаться пояснительные материалы: презентации, ссылки на видеоматериалы, фотографии и иные документы в формате PDF.</w:t>
      </w:r>
    </w:p>
    <w:p w14:paraId="18000000">
      <w:pPr>
        <w:spacing w:after="0" w:line="240" w:lineRule="auto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2) выбор победителей Конкурса </w:t>
      </w:r>
      <w:r>
        <w:rPr>
          <w:b w:val="1"/>
          <w:sz w:val="28"/>
        </w:rPr>
        <w:t xml:space="preserve">– </w:t>
      </w:r>
      <w:r>
        <w:rPr>
          <w:b w:val="1"/>
          <w:sz w:val="28"/>
        </w:rPr>
        <w:t>с 21</w:t>
      </w:r>
      <w:r>
        <w:rPr>
          <w:b w:val="1"/>
          <w:sz w:val="28"/>
        </w:rPr>
        <w:t xml:space="preserve"> июня 2024 года по 29 июля</w:t>
      </w:r>
      <w:r>
        <w:rPr>
          <w:b w:val="1"/>
          <w:sz w:val="28"/>
        </w:rPr>
        <w:t xml:space="preserve"> 2024</w:t>
      </w:r>
      <w:r>
        <w:rPr>
          <w:b w:val="1"/>
          <w:sz w:val="28"/>
        </w:rPr>
        <w:t xml:space="preserve"> года.</w:t>
      </w:r>
    </w:p>
    <w:p w14:paraId="19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>В рамках данного этапа осуществляются экспертиза заявок и определение победителей.</w:t>
      </w:r>
      <w:r>
        <w:rPr>
          <w:sz w:val="28"/>
        </w:rPr>
        <w:t xml:space="preserve"> </w:t>
      </w:r>
    </w:p>
    <w:p w14:paraId="1A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b w:val="1"/>
          <w:sz w:val="28"/>
        </w:rPr>
        <w:t xml:space="preserve">3) </w:t>
      </w:r>
      <w:r>
        <w:rPr>
          <w:b w:val="1"/>
          <w:sz w:val="28"/>
        </w:rPr>
        <w:t>награждение победителей и финалистов конкурса – с 1 августа 2024 года по 31 августа 2024 года</w:t>
      </w:r>
      <w:r>
        <w:rPr>
          <w:sz w:val="28"/>
        </w:rPr>
        <w:t xml:space="preserve">. </w:t>
      </w:r>
    </w:p>
    <w:p w14:paraId="1B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Награждение проводится </w:t>
      </w:r>
      <w:r>
        <w:rPr>
          <w:sz w:val="28"/>
        </w:rPr>
        <w:t>в торжественной обстановке с участием средств массовой информации. Также победители Конкурса будут представлять Камчатский край на федеральном уровне.</w:t>
      </w:r>
    </w:p>
    <w:p w14:paraId="1C000000">
      <w:pPr>
        <w:spacing w:after="0" w:line="240" w:lineRule="auto"/>
        <w:ind w:firstLine="709" w:left="0"/>
        <w:jc w:val="both"/>
        <w:rPr>
          <w:sz w:val="28"/>
        </w:rPr>
      </w:pPr>
      <w:bookmarkStart w:id="1" w:name="_GoBack"/>
      <w:bookmarkEnd w:id="1"/>
      <w:r>
        <w:rPr>
          <w:sz w:val="28"/>
        </w:rPr>
        <w:t xml:space="preserve">По всем вопросам, относящимся к Конкурсу, можно обратиться к </w:t>
      </w:r>
      <w:r>
        <w:rPr>
          <w:sz w:val="28"/>
        </w:rPr>
        <w:t>контактному лицу, ответственному за Конкурс,</w:t>
      </w:r>
      <w:r>
        <w:rPr>
          <w:sz w:val="28"/>
        </w:rPr>
        <w:t xml:space="preserve"> Самохиной Олесе Алексеевне, </w:t>
      </w:r>
      <w:r>
        <w:rPr>
          <w:sz w:val="28"/>
        </w:rPr>
        <w:t>тел. (4152) 42-56-80 (доп. 502), +7(900) 444-7390.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basedOn w:val="Style_1"/>
    <w:link w:val="Style_11_ch"/>
    <w:uiPriority w:val="9"/>
    <w:qFormat/>
    <w:pPr>
      <w:spacing w:afterAutospacing="on" w:beforeAutospacing="on" w:line="240" w:lineRule="auto"/>
      <w:ind/>
      <w:outlineLvl w:val="0"/>
    </w:pPr>
    <w:rPr>
      <w:b w:val="1"/>
      <w:sz w:val="48"/>
    </w:rPr>
  </w:style>
  <w:style w:styleId="Style_11_ch" w:type="character">
    <w:name w:val="heading 1"/>
    <w:basedOn w:val="Style_1_ch"/>
    <w:link w:val="Style_11"/>
    <w:rPr>
      <w:b w:val="1"/>
      <w:sz w:val="48"/>
    </w:rPr>
  </w:style>
  <w:style w:styleId="Style_12" w:type="paragraph">
    <w:name w:val="Hyperlink"/>
    <w:basedOn w:val="Style_8"/>
    <w:link w:val="Style_12_ch"/>
    <w:rPr>
      <w:color w:val="0000FF"/>
      <w:u w:val="single"/>
    </w:rPr>
  </w:style>
  <w:style w:styleId="Style_12_ch" w:type="character">
    <w:name w:val="Hyperlink"/>
    <w:basedOn w:val="Style_8_ch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2024-04-09T22:53:38Z</dcterms:modified>
</cp:coreProperties>
</file>