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марте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822,63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538,18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1147,60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388,86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299,79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1143,64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167,90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114,76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153,58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157,74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110,58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1376,81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43,44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83,07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128,46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121,10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133,83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110,48</w:t>
            </w:r>
          </w:p>
        </w:tc>
      </w:tr>
      <w:tr>
        <w:trPr>
          <w:trHeight w:hRule="atLeast" w:val="29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114,65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209,49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70,03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76,71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87,53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95,62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296,55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2024-04-27T04:48:28Z</dcterms:modified>
</cp:coreProperties>
</file>