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5528" w:right="0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Приложение к письму Минэкономразвития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за январь-февраль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январе-феврал</w:t>
      </w:r>
      <w:r>
        <w:rPr>
          <w:rFonts w:ascii="Times New Roman" w:hAnsi="Times New Roman"/>
          <w:sz w:val="28"/>
          <w:shd w:fill="auto" w:val="clear"/>
        </w:rPr>
        <w:t>е</w:t>
      </w:r>
      <w:r>
        <w:rPr>
          <w:rFonts w:ascii="Times New Roman" w:hAnsi="Times New Roman"/>
          <w:sz w:val="28"/>
          <w:shd w:fill="auto" w:val="clear"/>
        </w:rPr>
        <w:t xml:space="preserve"> 2024 года динамику роста показали: индекс промышленного производства; объем платных услуг населению; оборот розничной торговли; грузооборот и пассажирооборот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Вместе с тем, наблюдается снижение </w:t>
      </w:r>
      <w:r>
        <w:rPr>
          <w:rFonts w:ascii="Times New Roman" w:hAnsi="Times New Roman"/>
          <w:sz w:val="28"/>
          <w:shd w:fill="auto" w:val="clear"/>
        </w:rPr>
        <w:t xml:space="preserve">в </w:t>
      </w:r>
      <w:r>
        <w:rPr>
          <w:rFonts w:ascii="Times New Roman" w:hAnsi="Times New Roman"/>
          <w:sz w:val="28"/>
          <w:shd w:fill="auto" w:val="clear"/>
        </w:rPr>
        <w:t>водоснабжени</w:t>
      </w:r>
      <w:r>
        <w:rPr>
          <w:rFonts w:ascii="Times New Roman" w:hAnsi="Times New Roman"/>
          <w:sz w:val="28"/>
          <w:shd w:fill="auto" w:val="clear"/>
        </w:rPr>
        <w:t>и</w:t>
      </w:r>
      <w:r>
        <w:rPr>
          <w:rFonts w:ascii="Times New Roman" w:hAnsi="Times New Roman"/>
          <w:sz w:val="28"/>
          <w:shd w:fill="auto" w:val="clear"/>
        </w:rPr>
        <w:t>; водоотведени</w:t>
      </w:r>
      <w:r>
        <w:rPr>
          <w:rFonts w:ascii="Times New Roman" w:hAnsi="Times New Roman"/>
          <w:sz w:val="28"/>
          <w:shd w:fill="auto" w:val="clear"/>
        </w:rPr>
        <w:t>и</w:t>
      </w:r>
      <w:r>
        <w:rPr>
          <w:rFonts w:ascii="Times New Roman" w:hAnsi="Times New Roman"/>
          <w:sz w:val="28"/>
          <w:shd w:fill="auto" w:val="clear"/>
        </w:rPr>
        <w:t>, сбор</w:t>
      </w:r>
      <w:r>
        <w:rPr>
          <w:rFonts w:ascii="Times New Roman" w:hAnsi="Times New Roman"/>
          <w:sz w:val="28"/>
          <w:shd w:fill="auto" w:val="clear"/>
        </w:rPr>
        <w:t>е</w:t>
      </w:r>
      <w:r>
        <w:rPr>
          <w:rFonts w:ascii="Times New Roman" w:hAnsi="Times New Roman"/>
          <w:sz w:val="28"/>
          <w:shd w:fill="auto" w:val="clear"/>
        </w:rPr>
        <w:t xml:space="preserve"> и утилизации отходов; </w:t>
      </w:r>
      <w:r>
        <w:rPr>
          <w:rFonts w:ascii="Times New Roman" w:hAnsi="Times New Roman"/>
          <w:sz w:val="28"/>
          <w:shd w:fill="auto" w:val="clear"/>
        </w:rPr>
        <w:t xml:space="preserve">объеме </w:t>
      </w:r>
      <w:r>
        <w:rPr>
          <w:rFonts w:ascii="Times New Roman" w:hAnsi="Times New Roman"/>
          <w:sz w:val="28"/>
          <w:shd w:fill="auto" w:val="clear"/>
        </w:rPr>
        <w:t xml:space="preserve">строительных работ; </w:t>
      </w:r>
      <w:r>
        <w:rPr>
          <w:rFonts w:ascii="Times New Roman" w:hAnsi="Times New Roman"/>
          <w:sz w:val="28"/>
          <w:shd w:fill="auto" w:val="clear"/>
        </w:rPr>
        <w:t xml:space="preserve">обороте </w:t>
      </w:r>
      <w:r>
        <w:rPr>
          <w:rFonts w:ascii="Times New Roman" w:hAnsi="Times New Roman"/>
          <w:sz w:val="28"/>
          <w:shd w:fill="auto" w:val="clear"/>
        </w:rPr>
        <w:t xml:space="preserve">оптовой торговли; </w:t>
      </w:r>
      <w:r>
        <w:rPr>
          <w:rFonts w:ascii="Times New Roman" w:hAnsi="Times New Roman"/>
          <w:sz w:val="28"/>
          <w:shd w:fill="auto" w:val="clear"/>
        </w:rPr>
        <w:t xml:space="preserve">обороте </w:t>
      </w:r>
      <w:r>
        <w:rPr>
          <w:rFonts w:ascii="Times New Roman" w:hAnsi="Times New Roman"/>
          <w:sz w:val="28"/>
          <w:shd w:fill="auto" w:val="clear"/>
        </w:rPr>
        <w:t xml:space="preserve">общественного питания.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Оборот организаций по всем видам экономической деятельности за январь-февраль 2024 года составил 85 995,4 млн рублей, вырос на 17,7% к январю-февралю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Индекс промышленного производства составил 114,0%. Рост в добывающей промышленности – 26,3%, обрабатывающих производствах – 14,2%, в деятельности организаций по обеспечению электрической энергией, газом и паром; кондиционированию воздуха – 5,4% к январю-февралю 2023 года. Отрицательная динамика наблюдается в водоснабжении, водоотведении, организации сбора и утилизации отходов, ликвидации загрязнений (–1,2%).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Предприятиями, осуществляющими добычу полезных ископаемых, отгружено продукции на 9 429,4 млн рублей (236,5% к январю-февралю 2023 года в действующих ценах). Индекс производства составил 126,3%, что обусловлено увеличением добычи угля в 2 раза и металлических руд на 28,8%.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обрабатывающих производствах отгружено товаров собственного производства на сумму 20 759,1 млн рублей или 122,3% по отношению к январю-февралю 2023 года, индекс производства составил 114,2%.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Индекс производства пищевых продуктов составил 119,6% к январю-февралю 2023 года, объем отгруженной продукции составил 19 486,7 млн рублей (128,6% к январю-февралю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Рыбы переработанной и консервированной, ракообразных и моллюсков произведено 225,5 тыс. тонн или 126,8% к к январю-февралю 2023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 xml:space="preserve">За январь-февраль 2024 года объем </w:t>
      </w:r>
      <w:r>
        <w:rPr>
          <w:rFonts w:ascii="Times New Roman" w:hAnsi="Times New Roman"/>
          <w:color w:val="000000"/>
          <w:sz w:val="28"/>
          <w:shd w:fill="auto" w:val="clear"/>
        </w:rPr>
        <w:t>вылова</w:t>
      </w:r>
      <w:r>
        <w:rPr>
          <w:rFonts w:ascii="Times New Roman" w:hAnsi="Times New Roman"/>
          <w:color w:val="000000"/>
          <w:sz w:val="28"/>
          <w:shd w:fill="auto" w:val="clear"/>
        </w:rPr>
        <w:t xml:space="preserve"> водных биологических ресурсов составил 313,2 тыс. тонн, что на 16,7% больше, чем за январь-февраль 2023 года. 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>Увеличение объемов вылова отмечается: по кальмару в 13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>4,3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 xml:space="preserve"> раза, тихоокеанской сельди в 3,4 раза, наваге в 3,8 раза, палтусу 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 xml:space="preserve">и терпугам 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 xml:space="preserve">в 1,7 раза, треске +23,0%, камбале +12,3%, 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>минтаю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 xml:space="preserve"> +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>2,7</w:t>
      </w:r>
      <w:r>
        <w:rPr>
          <w:rFonts w:ascii="Times New Roman" w:hAnsi="Times New Roman"/>
          <w:color w:val="000000"/>
          <w:spacing w:val="0"/>
          <w:sz w:val="28"/>
          <w:shd w:fill="auto" w:val="clear"/>
        </w:rPr>
        <w:t xml:space="preserve">%.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 секторе производства пищевых продуктов отмечено увеличение производства мяса птицы (+35,0%), колбасных изделий (+9,5%), масла сливочного (+7,3%), сыра и и творога (+1,8%).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Снижение отмечалось по переработке мяса крупного рогатого скота </w:t>
      </w:r>
      <w:r>
        <w:rPr>
          <w:rFonts w:ascii="Times New Roman" w:hAnsi="Times New Roman"/>
          <w:sz w:val="28"/>
          <w:shd w:fill="auto" w:val="clear"/>
        </w:rPr>
        <w:t>(–</w:t>
      </w:r>
      <w:r>
        <w:rPr>
          <w:rFonts w:ascii="Times New Roman" w:hAnsi="Times New Roman"/>
          <w:sz w:val="28"/>
          <w:shd w:fill="auto" w:val="clear"/>
        </w:rPr>
        <w:t>13,6%</w:t>
      </w:r>
      <w:r>
        <w:rPr>
          <w:rFonts w:ascii="Times New Roman" w:hAnsi="Times New Roman"/>
          <w:sz w:val="28"/>
          <w:shd w:fill="auto" w:val="clear"/>
        </w:rPr>
        <w:t>)</w:t>
      </w:r>
      <w:r>
        <w:rPr>
          <w:rFonts w:ascii="Times New Roman" w:hAnsi="Times New Roman"/>
          <w:sz w:val="28"/>
          <w:shd w:fill="auto" w:val="clear"/>
        </w:rPr>
        <w:t xml:space="preserve">, производству мясных полуфабрикатов </w:t>
      </w:r>
      <w:r>
        <w:rPr>
          <w:rFonts w:ascii="Times New Roman" w:hAnsi="Times New Roman"/>
          <w:sz w:val="28"/>
          <w:shd w:fill="auto" w:val="clear"/>
        </w:rPr>
        <w:t>(–</w:t>
      </w:r>
      <w:r>
        <w:rPr>
          <w:rFonts w:ascii="Times New Roman" w:hAnsi="Times New Roman"/>
          <w:sz w:val="28"/>
          <w:shd w:fill="auto" w:val="clear"/>
        </w:rPr>
        <w:t>52,0%</w:t>
      </w:r>
      <w:r>
        <w:rPr>
          <w:rFonts w:ascii="Times New Roman" w:hAnsi="Times New Roman"/>
          <w:sz w:val="28"/>
          <w:shd w:fill="auto" w:val="clear"/>
        </w:rPr>
        <w:t>)</w:t>
      </w:r>
      <w:r>
        <w:rPr>
          <w:rFonts w:ascii="Times New Roman" w:hAnsi="Times New Roman"/>
          <w:sz w:val="28"/>
          <w:shd w:fill="auto" w:val="clear"/>
        </w:rPr>
        <w:t xml:space="preserve">, кондитерских изделий </w:t>
      </w:r>
      <w:r>
        <w:rPr>
          <w:rFonts w:ascii="Times New Roman" w:hAnsi="Times New Roman"/>
          <w:sz w:val="28"/>
          <w:shd w:fill="auto" w:val="clear"/>
        </w:rPr>
        <w:t>(–</w:t>
      </w:r>
      <w:r>
        <w:rPr>
          <w:rFonts w:ascii="Times New Roman" w:hAnsi="Times New Roman"/>
          <w:sz w:val="28"/>
          <w:shd w:fill="auto" w:val="clear"/>
        </w:rPr>
        <w:t>30,5%</w:t>
      </w:r>
      <w:r>
        <w:rPr>
          <w:rFonts w:ascii="Times New Roman" w:hAnsi="Times New Roman"/>
          <w:sz w:val="28"/>
          <w:shd w:fill="auto" w:val="clear"/>
        </w:rPr>
        <w:t>)</w:t>
      </w:r>
      <w:r>
        <w:rPr>
          <w:rFonts w:ascii="Times New Roman" w:hAnsi="Times New Roman"/>
          <w:sz w:val="28"/>
          <w:shd w:fill="auto" w:val="clear"/>
        </w:rPr>
        <w:t xml:space="preserve">, хлебобулочных изделий </w:t>
      </w:r>
      <w:r>
        <w:rPr>
          <w:rFonts w:ascii="Times New Roman" w:hAnsi="Times New Roman"/>
          <w:sz w:val="28"/>
          <w:shd w:fill="auto" w:val="clear"/>
        </w:rPr>
        <w:t>(–</w:t>
      </w:r>
      <w:r>
        <w:rPr>
          <w:rFonts w:ascii="Times New Roman" w:hAnsi="Times New Roman"/>
          <w:sz w:val="28"/>
          <w:shd w:fill="auto" w:val="clear"/>
        </w:rPr>
        <w:t>8,1%</w:t>
      </w:r>
      <w:r>
        <w:rPr>
          <w:rFonts w:ascii="Times New Roman" w:hAnsi="Times New Roman"/>
          <w:sz w:val="28"/>
          <w:shd w:fill="auto" w:val="clear"/>
        </w:rPr>
        <w:t>)</w:t>
      </w:r>
      <w:r>
        <w:rPr>
          <w:rFonts w:ascii="Times New Roman" w:hAnsi="Times New Roman"/>
          <w:sz w:val="28"/>
          <w:shd w:fill="auto" w:val="clear"/>
        </w:rPr>
        <w:t xml:space="preserve">, молока </w:t>
      </w:r>
      <w:r>
        <w:rPr>
          <w:rFonts w:ascii="Times New Roman" w:hAnsi="Times New Roman"/>
          <w:sz w:val="28"/>
          <w:shd w:fill="auto" w:val="clear"/>
        </w:rPr>
        <w:t>(–</w:t>
      </w:r>
      <w:r>
        <w:rPr>
          <w:rFonts w:ascii="Times New Roman" w:hAnsi="Times New Roman"/>
          <w:sz w:val="28"/>
          <w:shd w:fill="auto" w:val="clear"/>
        </w:rPr>
        <w:t>1,9%</w:t>
      </w:r>
      <w:r>
        <w:rPr>
          <w:rFonts w:ascii="Times New Roman" w:hAnsi="Times New Roman"/>
          <w:sz w:val="28"/>
          <w:shd w:fill="auto" w:val="clear"/>
        </w:rPr>
        <w:t>)</w:t>
      </w:r>
      <w:r>
        <w:rPr>
          <w:rFonts w:ascii="Times New Roman" w:hAnsi="Times New Roman"/>
          <w:sz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Наблюдается снижение производства по ремонту и монтажу машин и оборудования (судоремонт) на 55,0% к январю-февралю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На предприятиях по обеспечению электрической энергией, газом и паром отгружено продукции собственного производства на сумму 5 580,5 млн рублей, что составляет 100,9% к январю-февралю 2023 года, индекс производства составил 105,4%. Производство электроэнергии увеличилось на 8,4% к январю-февралю 2023 года и составило 432,6 млн кВт-ч. Отмечается рост потребления электрической энергии предприятиями сельского хозяйства, транспорта, связи, организациями жилищно-коммунального хозяйства и населением. Производство тепловой энергии, пара и горячей воды увеличилось на 2,0% (произведено 912,6 тыс. 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Объем отгруженных товаров предприятиями водоснабжения; водоотведения, сбора и утилизации отходов составил 650,5 млн рублей (101,3% к январю-февралю 2023 года), индекс производства составил 98,8%, в том числе индекс производства по забору, очистке и распределению воды составил 100,8%, по сбору и обработке сточных вод – 97,9%, по сбору, обработке и утилизации отходов; обработки вторичного сырья – 97,2%.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Производство продукции сельского хозяйства за 2023 год составило 11 650,3 млн рублей (96,5% к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 январе-феврале 2024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производство мяса составило 1,2 тыс. тонн (96,5% к январю-февралю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производство молока составило 3,4 тыс. тонн (95,4% к январю-февралю 2023 года). Средний надой молока на одну корову снизился на 2,2%;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производство яйца выросло на 15,2% к январю-февралю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Объём инвестиций в основной капитал за 2023 год составил 128 156,7 млн рублей или 124,1 % к 2022 году (в сопоставимой оценке).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Объём работ, выполненных по виду экономической деятельности «Строительство», в январе-феврале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2024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года составил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2 535,9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млн рублей, что в сопоставимой оценке составляет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73,9% относительно показателя за аналогичный период предыдущего года.</w:t>
      </w:r>
      <w:r>
        <w:rPr>
          <w:rFonts w:ascii="Times New Roman" w:hAnsi="Times New Roman"/>
          <w:color w:val="000000"/>
          <w:sz w:val="28"/>
          <w:shd w:fill="auto" w:val="clear"/>
        </w:rPr>
        <w:t xml:space="preserve"> Снижение показателя обусловлено завершением основного объема строительных работ по таким объектам как краевая больница, здание аэровокзального комплекса и перехода подрядчиков к этапу отделочных работ.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За январь-февраль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2024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20,3 тыс. кв. метров (100,8% к аналогичному периоду 2023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года), в том числе, построенных населением за счет собственных и привлеченных средств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20,3 тыс. кв. метров (155,0 % к аналогичному периоду 2023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В 2024 году на реализацию инвестиционных мероприятий предусмотрены ассигнования за счет всех источников финансирования в сумме 20 644,68 млн рублей, в том числе за счет средств федерального бюджета – 11 654,84 млн рублей (56,5%), краевого бюджета – 6 491,15 млн рублей (31,4%), Фонда развития территорий – 803,55 млн рублей (3,9%).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В рамках Инвестиционной программы ведется строительство значимых для Камчатского края объектов, в том числе: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строительство Камчатской краевой больницы,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техническая готовность объекта на отчетную дату составила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57%;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продолжилось 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63,3%, общая готовность – 76,8%;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продолжилось строительство автомобильной дороги общего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пользования регионального значения Камчатского края «п. Термальный —  туристский кластер «Три вулкана» (1–3 этапы), протяженностью 32,063 км. 17.10.2022 заключен государственный контракт № 48 Подрядчик ООО «Устой-М»;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76,2%;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реализуется мероприятие «Регазификационный комплекс СПГ в Камчатском крае», мощность 446 тонн в год;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37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строительство Учебного корпуса МБОУ «Елизовская средняя школа № 1  им. М.В. Ломоносова» на 500 учащихся. Заключен муниципальный контракт от 05.12.2023 № 0138300000123000221 с ООО «Трест», срок окончания работ по контракту 30.11.2025.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Фактический объем финансирования за отчетный период</w:t>
      </w:r>
      <w:r>
        <w:rPr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auto" w:val="clear"/>
        </w:rPr>
        <w:t>составил 197,92 млн рублей (1,0% от предусмотренного объема), в том числе за счет средств федерального бюджета – 139,95 млн рублей (1,2%), за счет средств краевого бюджета – 29,12 млн рублей (0,4%), Фонда развития территорий – 28,82 млн рублей (3,6%).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секторе потребительского рынка в январе-феврале 2024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оборот розничной торговли составил 16 594,4 млн рублей (109,8% к январю-февралю 2023 года) и на 94,2%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оборот общественного питания составил 1 183,7 млн рублей (75,7% к январю-февралю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платных услуг населению края было оказано на сумму 5 938,3 млн рублей (103,2% к январю-февралю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более 70,0% общего объема потребляемых услуг. Удельный вес бытовых услуг в общем объеме платных услуг населению составил 6,2%. В январе-феврале 2024 года населению края было оказано бытовых услуг на 371,2 млн рублей, что в сопоставимых ценах на 6,8% больше, чем в январе-феврале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Пассажирооборот автомобильного транспорта за январь-февраль 2024 года составил 43,7 млн пасс.-км (102,7% к январю-февралю 2023 года). Число перевезенных пассажиров автомобильным транспортом составило 5,2 млн человек (100,6% к январю-февралю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Грузооборот автомобильного транспорта за январь-февраль 2024 года составил 14,7 млн т-км (рост в 4,8 раза к январю-февралю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Объем перевезенного груза на морском транспорте за январь-февраль 2024 года составил 101,3 тыс. тонн (189,3% к январю-февралю 2023 года). Грузооборот морского транспорта увеличился в 2,3 раза и составил 207 336,0 млн т-км. Рост в каботажном плавании увеличился в 2 раза, в заграничном в 6,3 раза к январю-февралю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Среднегодовой показатель индекса потребительских цен в январе-феврале 2024 года составил 107,8%, в том числе: 107,7% на продовольственные товары,</w:t>
        <w:br/>
        <w:t>107,8% – на непродовольственные товары и 1</w:t>
      </w:r>
      <w:r>
        <w:rPr>
          <w:rFonts w:ascii="Times New Roman" w:hAnsi="Times New Roman"/>
          <w:sz w:val="28"/>
          <w:shd w:fill="auto" w:val="clear"/>
        </w:rPr>
        <w:t>08,0%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Среднемесячная номинальная начисленная заработная плата одного работника за январь 2024 года составила 119 784,8 рублей (117,3% к январю 2023 года). Реальная заработная плата составила 109,0% к январю 2023 года.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На 01.03.2024 просроченная задолженность по заработной плате составила </w:t>
      </w:r>
      <w:r>
        <w:rPr>
          <w:rFonts w:ascii="Times New Roman" w:hAnsi="Times New Roman"/>
          <w:sz w:val="28"/>
          <w:shd w:fill="auto" w:val="clear"/>
        </w:rPr>
        <w:t>2</w:t>
      </w:r>
      <w:r>
        <w:rPr>
          <w:rFonts w:ascii="Times New Roman" w:hAnsi="Times New Roman"/>
          <w:sz w:val="28"/>
          <w:shd w:fill="auto" w:val="clear"/>
        </w:rPr>
        <w:t> </w:t>
      </w:r>
      <w:r>
        <w:rPr>
          <w:rFonts w:ascii="Times New Roman" w:hAnsi="Times New Roman"/>
          <w:sz w:val="28"/>
          <w:shd w:fill="auto" w:val="clear"/>
        </w:rPr>
        <w:t>656,0</w:t>
      </w:r>
      <w:r>
        <w:rPr>
          <w:rFonts w:ascii="Times New Roman" w:hAnsi="Times New Roman"/>
          <w:sz w:val="28"/>
          <w:shd w:fill="auto" w:val="clear"/>
        </w:rPr>
        <w:t xml:space="preserve"> тыс. рублей (МУП «Автодор» – 2 451,0 тыс. рублей, РО КМНИК «Лукичи» – 205,0 тыс. рублей).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Численность официально зарегистрированных безработных по состоянию на 01.03.2024 составила 1,4 тыс. человек. Уровень регистрируемой безработицы – 0,9% (на 01.03.2023 – 1,2%). Напряженность на рынке труда составила 0,3 человека на одну заявленную работодателями вакансию (01.03.2023 – 0,5).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По состоянию на 01.02.2024 численность населения составила 288,8 тыс. человек, уменьшившись по сравнению с 1 января 2024 года на 103 человека за счет миграционной и естественной убыли населения (7 и 96 человек соответственно).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Сальдированный финансовый результат деятельности учтенного круга крупных и средних предприятий за январь 2024 года составил  6 707,4 млн рублей, что больше аналогичного периода прошлого года на 240,6%.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2 006,6 млн рублей; «обрабатывающие производства» – 169,7 млн рублей; «транспортировка и хранение» – 65,5 млн рублей; «обеспечение электрической энергией, газом и паром» – 993,1 млн рублей; «строительство» – 255,8 млн руб.; «торговля оптовая и розничная; ремонт автотранспортных средств и мотоциклов» – 126,3 млн рублей; «деятельность гостиниц и предприятий общественного питания» – 74,5 млн рублей.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Удельный вес убыточных организаций в общем числе организаций составил 35,5% от их общего числа.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Дебиторская задолженность по состоянию на 01.02.2024 составила 121 512,7 млн рублей, что на 13,1% выше, чем на 01.02.2023. Удельный вес просроченной дебиторской задолженности в общем объеме задолженности на 01.02.2024 составил 4,1%. Суммарный объем просроченной дебиторской задолженности по сравнению с аналогичным периодом прошлого года увеличился на 24,9% и составил 5 073,2 млн рублей.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Кредиторская задолженность по состоянию на 01.02.2024 составила 103 182,3 млн рублей, что на 2,1% выше, чем на 01.02.2023. Удельный вес просроченной дебиторской задолженности в общем объеме задолженности на 01.02.2024 составил 1,3%. Суммарный объем просроченной дебиторской задолженности по сравнению с аналогичным периодом прошлого года </w:t>
      </w:r>
      <w:bookmarkStart w:id="0" w:name="_GoBack"/>
      <w:bookmarkEnd w:id="0"/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увеличился на 17,9% и составил 1 327,5 млн рублей.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 w:eastAsia="Tahoma" w:cs="Lohit Devanagari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pacing w:val="0"/>
          <w:sz w:val="28"/>
          <w:shd w:fill="auto" w:val="clear"/>
        </w:rPr>
      </w:r>
      <w:r>
        <w:br w:type="page"/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  <w:highlight w:val="none"/>
          <w:shd w:fill="auto" w:val="clear"/>
        </w:rPr>
      </w:pPr>
      <w:r>
        <w:rPr>
          <w:rFonts w:ascii="Times New Roman" w:hAnsi="Times New Roman"/>
          <w:b/>
          <w:shd w:fill="auto" w:val="clear"/>
        </w:rPr>
      </w:r>
    </w:p>
    <w:tbl>
      <w:tblPr>
        <w:tblStyle w:val="Style_4"/>
        <w:tblW w:w="10056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1360"/>
        <w:gridCol w:w="1065"/>
        <w:gridCol w:w="1849"/>
        <w:gridCol w:w="1869"/>
      </w:tblGrid>
      <w:tr>
        <w:trPr>
          <w:trHeight w:val="1240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2023 год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январь-февраль 2024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 -февраль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 в % к январю-февралю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Электроэнергия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млн.кВт/ч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2 095,7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432,6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108,4</w:t>
            </w:r>
          </w:p>
        </w:tc>
      </w:tr>
      <w:tr>
        <w:trPr>
          <w:trHeight w:val="561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Пар и горячая вода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тыс.Гкал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3 555,6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912,6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102,0</w:t>
            </w:r>
          </w:p>
        </w:tc>
      </w:tr>
      <w:tr>
        <w:trPr>
          <w:trHeight w:val="404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Газ природный и попутный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89,3</w:t>
            </w:r>
          </w:p>
        </w:tc>
      </w:tr>
      <w:tr>
        <w:trPr>
          <w:trHeight w:val="405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Уголь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200,0</w:t>
            </w:r>
          </w:p>
        </w:tc>
      </w:tr>
      <w:tr>
        <w:trPr>
          <w:trHeight w:val="361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Лесоматериалы необработанные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плотных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25,9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72,8</w:t>
            </w:r>
          </w:p>
        </w:tc>
      </w:tr>
      <w:tr>
        <w:trPr>
          <w:trHeight w:val="441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161,1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21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86,4</w:t>
            </w:r>
          </w:p>
        </w:tc>
      </w:tr>
      <w:tr>
        <w:trPr>
          <w:trHeight w:val="495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109,5</w:t>
            </w:r>
          </w:p>
        </w:tc>
      </w:tr>
      <w:tr>
        <w:trPr>
          <w:trHeight w:val="427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5,3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98,1</w:t>
            </w:r>
          </w:p>
        </w:tc>
      </w:tr>
      <w:tr>
        <w:trPr>
          <w:trHeight w:val="419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Сыры, продукты сырные и творог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101,8</w:t>
            </w:r>
          </w:p>
        </w:tc>
      </w:tr>
      <w:tr>
        <w:trPr>
          <w:trHeight w:val="419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Изделия хлебобулочные недлительного хранения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15,7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91,9</w:t>
            </w:r>
          </w:p>
        </w:tc>
      </w:tr>
      <w:tr>
        <w:trPr>
          <w:trHeight w:val="553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Кондитерские изделия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69,5</w:t>
            </w:r>
          </w:p>
        </w:tc>
      </w:tr>
      <w:tr>
        <w:trPr>
          <w:trHeight w:val="425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Воды минеральные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 полулитров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93,7</w:t>
            </w:r>
          </w:p>
        </w:tc>
      </w:tr>
      <w:tr>
        <w:trPr>
          <w:trHeight w:val="425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Пиво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дкл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929,6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106,2</w:t>
            </w:r>
          </w:p>
        </w:tc>
      </w:tr>
      <w:tr>
        <w:trPr>
          <w:trHeight w:val="772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1 313,8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225,5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126,8</w:t>
            </w:r>
          </w:p>
        </w:tc>
      </w:tr>
      <w:tr>
        <w:trPr>
          <w:trHeight w:val="312" w:hRule="atLeast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Консервы рыбные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туб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5,2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115,7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0"/>
          <w:shd w:fill="auto" w:val="clear"/>
        </w:rPr>
        <w:t>Примечание: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20"/>
          <w:shd w:fill="auto" w:val="clear"/>
        </w:rPr>
        <w:t>*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16"/>
          <w:shd w:fill="auto" w:val="clear"/>
        </w:rPr>
        <w:t>–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20"/>
          <w:shd w:fill="auto" w:val="clear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before="0" w:after="16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Макроэкономические показатели по Ка</w:t>
      </w:r>
      <w:r>
        <w:rPr>
          <w:rFonts w:ascii="Times New Roman" w:hAnsi="Times New Roman"/>
          <w:sz w:val="28"/>
          <w:shd w:fill="auto" w:val="clear"/>
        </w:rPr>
        <w:t>м</w:t>
      </w:r>
      <w:r>
        <w:rPr>
          <w:rFonts w:ascii="Times New Roman" w:hAnsi="Times New Roman"/>
          <w:sz w:val="28"/>
          <w:shd w:fill="auto" w:val="clear"/>
        </w:rPr>
        <w:t>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Style w:val="Style_4"/>
        <w:tblW w:w="1009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1337"/>
        <w:gridCol w:w="1750"/>
        <w:gridCol w:w="2022"/>
      </w:tblGrid>
      <w:tr>
        <w:trPr>
          <w:tblHeader w:val="true"/>
          <w:trHeight w:val="5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Показатели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2023 год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 xml:space="preserve">январь-февраль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2024 года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январь-февраль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 в % к январю-февралю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Индекс промышленного производства,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129,5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114,0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20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47 673,8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9 429,4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126,3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угля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природного газа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металлических руд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42 809,7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8 883,9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128,8</w:t>
            </w:r>
          </w:p>
        </w:tc>
      </w:tr>
      <w:tr>
        <w:trPr>
          <w:trHeight w:val="20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прочих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1 313,7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102,3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68,4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174 168,1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20 759,1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114,2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пищевых продуктов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164 348,2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19 486,7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119,6</w:t>
            </w:r>
          </w:p>
        </w:tc>
      </w:tr>
      <w:tr>
        <w:trPr>
          <w:trHeight w:val="20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напитков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1 189,5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169,0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97,5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обработка древесины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4,1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37,2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деятельность полиграфическая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188,9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31,7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88,3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химических веществ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96,3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резиновых и пластмассовых изделий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28,8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93,9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прочей неметаллической минеральной продукции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1 585,0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154,8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100,4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ремонт и монтаж машин и оборудования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5 190,6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666,7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45,1</w:t>
            </w:r>
          </w:p>
        </w:tc>
      </w:tr>
      <w:tr>
        <w:trPr>
          <w:trHeight w:val="24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26 048,1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5 580,5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105,4</w:t>
            </w:r>
          </w:p>
        </w:tc>
      </w:tr>
      <w:tr>
        <w:trPr>
          <w:trHeight w:val="75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4 082,1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650,5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98,8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128 156,7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124,1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87,0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100,8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Валовая продукция сельского хозяйства,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11 650,3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производства продукции животноводства: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мясо, тыс. тонн (живой вес)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96,5</w:t>
            </w:r>
          </w:p>
        </w:tc>
      </w:tr>
      <w:tr>
        <w:trPr>
          <w:trHeight w:val="24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молоко, тыс. тонн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22,3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95,4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яйца, млн штук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115,2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33 274,1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5 938,3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103,2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него: бытовые услуги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2 035,4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371,2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106,8</w:t>
            </w:r>
          </w:p>
        </w:tc>
      </w:tr>
      <w:tr>
        <w:trPr>
          <w:trHeight w:val="29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Оборот розничной торговли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95 275,0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16 594,4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109,8</w:t>
            </w:r>
          </w:p>
        </w:tc>
      </w:tr>
      <w:tr>
        <w:trPr>
          <w:trHeight w:val="20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Оборот общественного питания,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9 096,7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1 183,7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75,7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119 308,0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119 784,8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109,0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81,2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 по видам деятельности: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Транспорт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75,0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0,2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федерального бюджета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местных бюджетов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бюджета субъекта РФ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165,6</w:t>
            </w:r>
          </w:p>
        </w:tc>
      </w:tr>
      <w:tr>
        <w:trPr>
          <w:trHeight w:val="24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Грузооборот (данные по автомобильному транспорту), млн т/км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40,0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рост в 4,8 раз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284,6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43,7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102,7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42 079,1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6 707,4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240,6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  <w:vertAlign w:val="superscript"/>
              </w:rPr>
            </w:pPr>
            <w:r>
              <w:rPr>
                <w:rFonts w:ascii="Times New Roman" w:hAnsi="Times New Roman"/>
                <w:sz w:val="22"/>
                <w:shd w:fill="auto" w:val="clear"/>
                <w:vertAlign w:val="superscript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476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Сельское, лесное хозяйство, охота, рыболовство и рыбоводство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21 650,2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2 006,6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153,0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5 245,5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6 590,2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169,7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37,9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2 484,4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993,1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88,4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74,2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-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9,6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Theme="minorAscii" w:hAnsiTheme="minorHAnsi"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Строительство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763,8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255,8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334,2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44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2 117,0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126,3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64,3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Транспортировка и хранение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1 565,1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65,5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40,8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-68,3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74,5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470,3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304,5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Theme="minorAscii" w:hAnsiTheme="minorHAnsi"/>
                <w:sz w:val="22"/>
                <w:highlight w:val="none"/>
                <w:shd w:fill="auto" w:val="clear"/>
              </w:rPr>
            </w:pP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-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</w:rPr>
              <w:t>8,6</w:t>
            </w:r>
            <w:r>
              <w:rPr>
                <w:rFonts w:asciiTheme="minorAscii" w:hAnsiTheme="minorHAnsi"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  <w:vertAlign w:val="superscript"/>
              </w:rPr>
            </w:pPr>
            <w:r>
              <w:rPr>
                <w:sz w:val="22"/>
                <w:shd w:fill="auto" w:val="clear"/>
                <w:vertAlign w:val="superscript"/>
              </w:rPr>
            </w:r>
          </w:p>
        </w:tc>
      </w:tr>
      <w:tr>
        <w:trPr>
          <w:trHeight w:val="20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дебиторская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125 512,7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121 817,4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113,1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5 218,7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5 073,2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124,9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кредиторская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99 230,5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103 182,3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102,1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1 696,0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</w:rPr>
              <w:t>1 327,5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position w:val="0"/>
                <w:sz w:val="22"/>
                <w:sz w:val="22"/>
                <w:highlight w:val="none"/>
                <w:shd w:fill="auto" w:val="clear"/>
                <w:vertAlign w:val="baseline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117,9</w:t>
            </w:r>
            <w:r>
              <w:rPr>
                <w:rFonts w:ascii="Times New Roman" w:hAnsi="Times New Roman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Численность населения,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289,0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288,8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100,0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Естественный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-456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- 96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Миграционный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687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- 7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73,4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Уровень зарегистрированной безработицы (среднее за период),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16"/>
          <w:shd w:fill="auto" w:val="clear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16"/>
          <w:shd w:fill="auto" w:val="clear"/>
        </w:rPr>
        <w:t>…</w:t>
      </w:r>
      <w:r>
        <w:rPr>
          <w:rFonts w:ascii="Times New Roman" w:hAnsi="Times New Roman"/>
          <w:sz w:val="16"/>
          <w:shd w:fill="auto" w:val="clear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16"/>
          <w:shd w:fill="auto" w:val="clear"/>
        </w:rPr>
        <w:t>1 – январь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16"/>
          <w:shd w:fill="auto" w:val="clear"/>
        </w:rPr>
        <w:t>2 – январь 2024 года к январю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16"/>
          <w:shd w:fill="auto" w:val="clear"/>
        </w:rPr>
        <w:t>3 – 2023 год к 2022 году.</w:t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26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4475" cy="173990"/>
              <wp:effectExtent l="0" t="0" r="0" b="0"/>
              <wp:wrapSquare wrapText="bothSides"/>
              <wp:docPr id="1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45.45pt;margin-top:0.05pt;width:19.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635" r="0" b="0"/>
              <wp:wrapSquare wrapText="bothSides"/>
              <wp:docPr id="2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49.5pt;margin-top:0.05pt;width:11.15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49.05pt;margin-top:0.05pt;width:1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52.05pt;margin-top:0.05pt;width:6pt;height:13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t>8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635" distL="0" distR="0" simplePos="0" locked="0" layoutInCell="0" allowOverlap="1" relativeHeight="8">
              <wp:simplePos x="0" y="0"/>
              <wp:positionH relativeFrom="margin">
                <wp:posOffset>3204210</wp:posOffset>
              </wp:positionH>
              <wp:positionV relativeFrom="paragraph">
                <wp:posOffset>635</wp:posOffset>
              </wp:positionV>
              <wp:extent cx="71755" cy="173990"/>
              <wp:effectExtent l="0" t="0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52.3pt;margin-top:0.05pt;width:5.6pt;height:13.65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71755" cy="169545"/>
              <wp:effectExtent l="0" t="635" r="0" b="0"/>
              <wp:wrapSquare wrapText="bothSides"/>
              <wp:docPr id="6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52.25pt;margin-top:0.4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7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7795" cy="175260"/>
              <wp:effectExtent l="0" t="0" r="0" b="0"/>
              <wp:wrapSquare wrapText="bothSides"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stroked="f" o:allowincell="f" style="position:absolute;margin-left:249.65pt;margin-top:0.05pt;width:10.8pt;height:13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t>9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3">
    <w:name w:val="Колонтитул3"/>
    <w:link w:val="311"/>
    <w:qFormat/>
    <w:rPr/>
  </w:style>
  <w:style w:type="character" w:styleId="11111">
    <w:name w:val="Нижний колонтитул11111"/>
    <w:link w:val="1111112"/>
    <w:qFormat/>
    <w:rPr>
      <w:rFonts w:ascii="Times New Roman" w:hAnsi="Times New Roman"/>
      <w:color w:val="000000"/>
      <w:spacing w:val="0"/>
      <w:sz w:val="28"/>
    </w:rPr>
  </w:style>
  <w:style w:type="character" w:styleId="5">
    <w:name w:val="Содержимое врезки5"/>
    <w:link w:val="512"/>
    <w:qFormat/>
    <w:rPr/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ing5131">
    <w:name w:val="Heading 5131"/>
    <w:link w:val="Heading51311"/>
    <w:qFormat/>
    <w:rPr>
      <w:rFonts w:ascii="XO Thames" w:hAnsi="XO Thames"/>
      <w:b/>
      <w:color w:val="000000"/>
      <w:spacing w:val="0"/>
      <w:sz w:val="22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List1">
    <w:name w:val="List1"/>
    <w:basedOn w:val="Textbody1111"/>
    <w:qFormat/>
    <w:rPr/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411111">
    <w:name w:val="Заголовок 411111"/>
    <w:link w:val="4111111"/>
    <w:qFormat/>
    <w:rPr>
      <w:rFonts w:ascii="XO Thames" w:hAnsi="XO Thames"/>
      <w:b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yle9">
    <w:name w:val="Содержимое таблицы"/>
    <w:link w:val="14"/>
    <w:qFormat/>
    <w:rPr/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Footer1211">
    <w:name w:val="Footer1211"/>
    <w:link w:val="Footer12111"/>
    <w:qFormat/>
    <w:rPr>
      <w:rFonts w:ascii="Times New Roman" w:hAnsi="Times New Roman"/>
      <w:color w:val="000000"/>
      <w:spacing w:val="0"/>
      <w:sz w:val="28"/>
    </w:rPr>
  </w:style>
  <w:style w:type="character" w:styleId="Footer131">
    <w:name w:val="Footer131"/>
    <w:link w:val="Footer1311"/>
    <w:qFormat/>
    <w:rPr>
      <w:rFonts w:ascii="Times New Roman" w:hAnsi="Times New Roman"/>
      <w:color w:val="000000"/>
      <w:spacing w:val="0"/>
      <w:sz w:val="28"/>
    </w:rPr>
  </w:style>
  <w:style w:type="character" w:styleId="Indexheading1111">
    <w:name w:val="index heading1111"/>
    <w:link w:val="Indexheading11111"/>
    <w:qFormat/>
    <w:rPr/>
  </w:style>
  <w:style w:type="character" w:styleId="4111">
    <w:name w:val="Колонтитул4111"/>
    <w:link w:val="411112"/>
    <w:qFormat/>
    <w:rPr/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6">
    <w:name w:val="Колонтитул6"/>
    <w:link w:val="611"/>
    <w:qFormat/>
    <w:rPr/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Bx-messenger-ajax1111">
    <w:name w:val="bx-messenger-ajax1111"/>
    <w:basedOn w:val="111114"/>
    <w:link w:val="Bx-messenger-ajax11111"/>
    <w:qFormat/>
    <w:rPr/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">
    <w:name w:val="Колонтитул3111"/>
    <w:link w:val="311112"/>
    <w:qFormat/>
    <w:rPr/>
  </w:style>
  <w:style w:type="character" w:styleId="DefaultParagraphFont1111">
    <w:name w:val="Default Paragraph Font1111"/>
    <w:link w:val="DefaultParagraphFont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211">
    <w:name w:val="Заголовок2211"/>
    <w:link w:val="221111"/>
    <w:qFormat/>
    <w:rPr>
      <w:rFonts w:ascii="Open Sans" w:hAnsi="Open Sans"/>
      <w:sz w:val="28"/>
    </w:rPr>
  </w:style>
  <w:style w:type="character" w:styleId="1">
    <w:name w:val="Заголовок1"/>
    <w:link w:val="112"/>
    <w:qFormat/>
    <w:rPr>
      <w:rFonts w:ascii="Open Sans" w:hAnsi="Open Sans"/>
      <w:sz w:val="28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211211">
    <w:name w:val="Заголовок211211"/>
    <w:link w:val="21121111"/>
    <w:qFormat/>
    <w:rPr>
      <w:rFonts w:ascii="Open Sans" w:hAnsi="Open Sans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Internetlink21">
    <w:name w:val="Internet link21"/>
    <w:basedOn w:val="DefaultParagraphFont1111"/>
    <w:link w:val="Internetlink211"/>
    <w:qFormat/>
    <w:rPr>
      <w:color w:themeColor="hyperlink" w:val="0563C1"/>
      <w:u w:val="single"/>
    </w:rPr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Caption3111">
    <w:name w:val="caption3111"/>
    <w:link w:val="Caption31111"/>
    <w:qFormat/>
    <w:rPr>
      <w:i/>
      <w:sz w:val="24"/>
    </w:rPr>
  </w:style>
  <w:style w:type="character" w:styleId="Caption1211">
    <w:name w:val="Caption1211"/>
    <w:link w:val="Caption1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81111">
    <w:name w:val="Contents 81111"/>
    <w:link w:val="Contents811111"/>
    <w:qFormat/>
    <w:rPr>
      <w:rFonts w:ascii="XO Thames" w:hAnsi="XO Thames"/>
      <w:color w:val="000000"/>
      <w:spacing w:val="0"/>
      <w:sz w:val="28"/>
    </w:rPr>
  </w:style>
  <w:style w:type="character" w:styleId="List1211">
    <w:name w:val="List1211"/>
    <w:basedOn w:val="Textbody1111"/>
    <w:link w:val="List12111"/>
    <w:qFormat/>
    <w:rPr/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11">
    <w:name w:val="Заголовок 511111"/>
    <w:link w:val="5111111"/>
    <w:qFormat/>
    <w:rPr>
      <w:rFonts w:ascii="XO Thames" w:hAnsi="XO Thames"/>
      <w:b/>
      <w:color w:val="000000"/>
      <w:spacing w:val="0"/>
      <w:sz w:val="22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1111">
    <w:name w:val="Заголовок таблицы1111"/>
    <w:basedOn w:val="11114"/>
    <w:link w:val="111119"/>
    <w:qFormat/>
    <w:rPr>
      <w:b/>
    </w:rPr>
  </w:style>
  <w:style w:type="character" w:styleId="Textbody">
    <w:name w:val="Text body"/>
    <w:qFormat/>
    <w:rPr/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Internetlink1111">
    <w:name w:val="Internet link1111"/>
    <w:basedOn w:val="DefaultParagraphFont1111"/>
    <w:link w:val="Internetlink11111"/>
    <w:qFormat/>
    <w:rPr>
      <w:color w:themeColor="hyperlink" w:val="0563C1"/>
      <w:u w:val="single"/>
    </w:rPr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BalloonText1111">
    <w:name w:val="Balloon Text1111"/>
    <w:link w:val="BalloonText11111"/>
    <w:qFormat/>
    <w:rPr>
      <w:rFonts w:ascii="Segoe UI" w:hAnsi="Segoe UI"/>
      <w:sz w:val="18"/>
    </w:rPr>
  </w:style>
  <w:style w:type="character" w:styleId="511">
    <w:name w:val="Колонтитул511"/>
    <w:link w:val="51111"/>
    <w:qFormat/>
    <w:rPr>
      <w:rFonts w:ascii="XO Thames" w:hAnsi="XO Thames"/>
      <w:color w:val="000000"/>
      <w:spacing w:val="0"/>
      <w:sz w:val="20"/>
    </w:rPr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121">
    <w:name w:val="Указатель121"/>
    <w:link w:val="12121"/>
    <w:qFormat/>
    <w:rPr/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12111">
    <w:name w:val="Заголовок12111"/>
    <w:link w:val="121112"/>
    <w:qFormat/>
    <w:rPr>
      <w:rFonts w:ascii="Open Sans" w:hAnsi="Open Sans"/>
      <w:sz w:val="28"/>
    </w:rPr>
  </w:style>
  <w:style w:type="character" w:styleId="PlainText1111">
    <w:name w:val="Plain Text1111"/>
    <w:link w:val="PlainText11111"/>
    <w:qFormat/>
    <w:rPr>
      <w:rFonts w:ascii="Calibri" w:hAnsi="Calibri"/>
    </w:rPr>
  </w:style>
  <w:style w:type="character" w:styleId="List131">
    <w:name w:val="List131"/>
    <w:basedOn w:val="Textbody1111"/>
    <w:link w:val="List1311"/>
    <w:qFormat/>
    <w:rPr/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21211">
    <w:name w:val="Указатель21211"/>
    <w:link w:val="2121111"/>
    <w:qFormat/>
    <w:rPr/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111111">
    <w:name w:val="Знак примечания11111"/>
    <w:basedOn w:val="111114"/>
    <w:link w:val="1111113"/>
    <w:qFormat/>
    <w:rPr>
      <w:sz w:val="16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51">
    <w:name w:val="Колонтитул5"/>
    <w:link w:val="513"/>
    <w:qFormat/>
    <w:rPr/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Header11">
    <w:name w:val="Header11"/>
    <w:link w:val="Header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Endnote1111">
    <w:name w:val="Endnote1111"/>
    <w:link w:val="Endnote11111"/>
    <w:qFormat/>
    <w:rPr>
      <w:rFonts w:ascii="XO Thames" w:hAnsi="XO Thames"/>
      <w:color w:val="000000"/>
      <w:spacing w:val="0"/>
      <w:sz w:val="22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Contents61111">
    <w:name w:val="Contents 61111"/>
    <w:link w:val="Contents611111"/>
    <w:qFormat/>
    <w:rPr>
      <w:rFonts w:ascii="XO Thames" w:hAnsi="XO Thames"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61">
    <w:name w:val="Содержимое врезки6"/>
    <w:link w:val="612"/>
    <w:qFormat/>
    <w:rPr/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111">
    <w:name w:val="Указатель111"/>
    <w:link w:val="11116"/>
    <w:qFormat/>
    <w:rPr/>
  </w:style>
  <w:style w:type="character" w:styleId="121111">
    <w:name w:val="Указатель12111"/>
    <w:link w:val="1211121"/>
    <w:qFormat/>
    <w:rPr/>
  </w:style>
  <w:style w:type="character" w:styleId="1111111">
    <w:name w:val="Заголовок 111111"/>
    <w:link w:val="11111111"/>
    <w:qFormat/>
    <w:rPr>
      <w:rFonts w:ascii="XO Thames" w:hAnsi="XO Thames"/>
      <w:b/>
      <w:color w:val="000000"/>
      <w:spacing w:val="0"/>
      <w:sz w:val="32"/>
    </w:rPr>
  </w:style>
  <w:style w:type="character" w:styleId="111112">
    <w:name w:val="Указатель11111"/>
    <w:link w:val="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11">
    <w:name w:val="Указатель121111"/>
    <w:link w:val="12111111"/>
    <w:qFormat/>
    <w:rPr/>
  </w:style>
  <w:style w:type="character" w:styleId="Textbody1">
    <w:name w:val="Text body1"/>
    <w:link w:val="Textbody2"/>
    <w:qFormat/>
    <w:rPr/>
  </w:style>
  <w:style w:type="character" w:styleId="Internetlink">
    <w:name w:val="Internet link"/>
    <w:basedOn w:val="DefaultParagraphFont1111"/>
    <w:link w:val="Internetlink1"/>
    <w:qFormat/>
    <w:rPr>
      <w:color w:themeColor="hyperlink" w:val="0563C1"/>
      <w:u w:val="single"/>
    </w:rPr>
  </w:style>
  <w:style w:type="character" w:styleId="Contents21111">
    <w:name w:val="Contents 21111"/>
    <w:link w:val="Contents211111"/>
    <w:qFormat/>
    <w:rPr>
      <w:rFonts w:ascii="XO Thames" w:hAnsi="XO Thames"/>
      <w:color w:val="000000"/>
      <w:spacing w:val="0"/>
      <w:sz w:val="28"/>
    </w:rPr>
  </w:style>
  <w:style w:type="character" w:styleId="111113">
    <w:name w:val="Подзаголовок11111"/>
    <w:link w:val="1111115"/>
    <w:qFormat/>
    <w:rPr>
      <w:rFonts w:ascii="XO Thames" w:hAnsi="XO Thames"/>
      <w:i/>
      <w:color w:val="000000"/>
      <w:spacing w:val="0"/>
      <w:sz w:val="24"/>
    </w:rPr>
  </w:style>
  <w:style w:type="character" w:styleId="Style10">
    <w:name w:val="Символ нумерации"/>
    <w:link w:val="15"/>
    <w:qFormat/>
    <w:rPr>
      <w:rFonts w:ascii="Times New Roman" w:hAnsi="Times New Roman"/>
      <w:sz w:val="28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pacing w:val="0"/>
      <w:sz w:val="28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41111">
    <w:name w:val="Содержимое врезки4111"/>
    <w:link w:val="411113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1211112">
    <w:name w:val="Заголовок121111"/>
    <w:link w:val="12111112"/>
    <w:qFormat/>
    <w:rPr>
      <w:rFonts w:ascii="Open Sans" w:hAnsi="Open Sans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2">
    <w:name w:val="Символ нумерации1111"/>
    <w:link w:val="111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2111">
    <w:name w:val="Колонтитул2111"/>
    <w:link w:val="211112"/>
    <w:qFormat/>
    <w:rPr/>
  </w:style>
  <w:style w:type="character" w:styleId="111114">
    <w:name w:val="Основной шрифт абзаца11111"/>
    <w:link w:val="111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yperlink">
    <w:name w:val="Hyperlink"/>
    <w:basedOn w:val="DefaultParagraphFont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Annotationsubject1111">
    <w:name w:val="annotation subject1111"/>
    <w:basedOn w:val="Annotationtext1111"/>
    <w:link w:val="Annotationsubject11111"/>
    <w:qFormat/>
    <w:rPr>
      <w:b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2112111">
    <w:name w:val="Указатель211211"/>
    <w:link w:val="21121112"/>
    <w:qFormat/>
    <w:rPr/>
  </w:style>
  <w:style w:type="character" w:styleId="21111">
    <w:name w:val="Содержимое таблицы2111"/>
    <w:link w:val="211113"/>
    <w:qFormat/>
    <w:rPr/>
  </w:style>
  <w:style w:type="character" w:styleId="Contents41111">
    <w:name w:val="Contents 41111"/>
    <w:link w:val="Contents41111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Contents51111">
    <w:name w:val="Contents 51111"/>
    <w:link w:val="Contents511111"/>
    <w:qFormat/>
    <w:rPr>
      <w:rFonts w:ascii="XO Thames" w:hAnsi="XO Thames"/>
      <w:color w:val="000000"/>
      <w:spacing w:val="0"/>
      <w:sz w:val="28"/>
    </w:rPr>
  </w:style>
  <w:style w:type="character" w:styleId="1211">
    <w:name w:val="Заголовок1211"/>
    <w:link w:val="121121"/>
    <w:qFormat/>
    <w:rPr>
      <w:rFonts w:ascii="Open Sans" w:hAnsi="Open Sans"/>
      <w:sz w:val="28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List12">
    <w:name w:val="List12"/>
    <w:basedOn w:val="Textbody1111"/>
    <w:link w:val="List121"/>
    <w:qFormat/>
    <w:rPr/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212111">
    <w:name w:val="Заголовок21211"/>
    <w:link w:val="2121112"/>
    <w:qFormat/>
    <w:rPr>
      <w:rFonts w:ascii="Open Sans" w:hAnsi="Open Sans"/>
      <w:sz w:val="28"/>
    </w:rPr>
  </w:style>
  <w:style w:type="character" w:styleId="11">
    <w:name w:val="Содержимое врезки1"/>
    <w:link w:val="113"/>
    <w:qFormat/>
    <w:rPr/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212">
    <w:name w:val="Заголовок121"/>
    <w:link w:val="12122"/>
    <w:qFormat/>
    <w:rPr>
      <w:rFonts w:ascii="Open Sans" w:hAnsi="Open Sans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Internetlink11">
    <w:name w:val="Internet link11"/>
    <w:basedOn w:val="DefaultParagraphFont1111"/>
    <w:link w:val="Internetlink111"/>
    <w:qFormat/>
    <w:rPr>
      <w:color w:themeColor="hyperlink" w:val="0563C1"/>
      <w:u w:val="single"/>
    </w:rPr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5111">
    <w:name w:val="Содержимое врезки511"/>
    <w:link w:val="51112"/>
    <w:qFormat/>
    <w:rPr/>
  </w:style>
  <w:style w:type="character" w:styleId="Docdata1111">
    <w:name w:val="docdata1111"/>
    <w:basedOn w:val="111114"/>
    <w:link w:val="Docdata11111"/>
    <w:qFormat/>
    <w:rPr/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1112">
    <w:name w:val="Заголовок111"/>
    <w:link w:val="11117"/>
    <w:qFormat/>
    <w:rPr>
      <w:rFonts w:ascii="Open Sans" w:hAnsi="Open Sans"/>
      <w:sz w:val="28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21112">
    <w:name w:val="Содержимое врезки2111"/>
    <w:link w:val="211114"/>
    <w:qFormat/>
    <w:rPr/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Header1111">
    <w:name w:val="Header1111"/>
    <w:link w:val="Header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2111">
    <w:name w:val="Указатель2211"/>
    <w:link w:val="221112"/>
    <w:qFormat/>
    <w:rPr/>
  </w:style>
  <w:style w:type="character" w:styleId="Annotationtext1111">
    <w:name w:val="annotation text1111"/>
    <w:link w:val="Annotationtext11111"/>
    <w:qFormat/>
    <w:rPr>
      <w:sz w:val="2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Textbody1111">
    <w:name w:val="Text body1111"/>
    <w:link w:val="Textbody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styleId="11113">
    <w:name w:val="Колонтитул1111"/>
    <w:link w:val="1111117"/>
    <w:qFormat/>
    <w:rPr>
      <w:rFonts w:ascii="XO Thames" w:hAnsi="XO Thames"/>
      <w:color w:val="000000"/>
      <w:spacing w:val="0"/>
      <w:sz w:val="20"/>
    </w:rPr>
  </w:style>
  <w:style w:type="character" w:styleId="2111111">
    <w:name w:val="Указатель2111111"/>
    <w:link w:val="211111111"/>
    <w:qFormat/>
    <w:rPr/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Contents71111">
    <w:name w:val="Contents 71111"/>
    <w:link w:val="Contents711111"/>
    <w:qFormat/>
    <w:rPr>
      <w:rFonts w:ascii="XO Thames" w:hAnsi="XO Thames"/>
      <w:color w:val="000000"/>
      <w:spacing w:val="0"/>
      <w:sz w:val="28"/>
    </w:rPr>
  </w:style>
  <w:style w:type="character" w:styleId="11114">
    <w:name w:val="Содержимое таблицы1111"/>
    <w:link w:val="1111118"/>
    <w:qFormat/>
    <w:rPr/>
  </w:style>
  <w:style w:type="character" w:styleId="Header211">
    <w:name w:val="Header211"/>
    <w:link w:val="Header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3">
    <w:name w:val="Заголовок таблицы2111"/>
    <w:basedOn w:val="21111"/>
    <w:link w:val="211115"/>
    <w:qFormat/>
    <w:rPr>
      <w:b/>
    </w:rPr>
  </w:style>
  <w:style w:type="character" w:styleId="12">
    <w:name w:val="Указатель1"/>
    <w:link w:val="114"/>
    <w:qFormat/>
    <w:rPr/>
  </w:style>
  <w:style w:type="character" w:styleId="211111">
    <w:name w:val="Заголовок 211111"/>
    <w:link w:val="21111112"/>
    <w:qFormat/>
    <w:rPr>
      <w:rFonts w:ascii="XO Thames" w:hAnsi="XO Thames"/>
      <w:b/>
      <w:color w:val="000000"/>
      <w:spacing w:val="0"/>
      <w:sz w:val="28"/>
    </w:rPr>
  </w:style>
  <w:style w:type="character" w:styleId="Heading511">
    <w:name w:val="Heading 511"/>
    <w:link w:val="Heading513"/>
    <w:qFormat/>
    <w:rPr>
      <w:rFonts w:ascii="XO Thames" w:hAnsi="XO Thames"/>
      <w:b/>
      <w:color w:val="000000"/>
      <w:spacing w:val="0"/>
      <w:sz w:val="22"/>
    </w:rPr>
  </w:style>
  <w:style w:type="character" w:styleId="13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Heading11111">
    <w:name w:val="Heading 11111"/>
    <w:link w:val="Heading111111"/>
    <w:qFormat/>
    <w:rPr>
      <w:rFonts w:ascii="XO Thames" w:hAnsi="XO Thames"/>
      <w:b/>
      <w:color w:val="000000"/>
      <w:spacing w:val="0"/>
      <w:sz w:val="32"/>
    </w:rPr>
  </w:style>
  <w:style w:type="character" w:styleId="List11">
    <w:name w:val="List11"/>
    <w:basedOn w:val="Textbody1111"/>
    <w:link w:val="List13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31111">
    <w:name w:val="Содержимое врезки3111"/>
    <w:link w:val="311113"/>
    <w:qFormat/>
    <w:rPr/>
  </w:style>
  <w:style w:type="character" w:styleId="Contents53">
    <w:name w:val="Contents 53"/>
    <w:link w:val="Contents531"/>
    <w:qFormat/>
    <w:rPr>
      <w:rFonts w:ascii="XO Thames" w:hAnsi="XO Thames"/>
      <w:color w:val="000000"/>
      <w:spacing w:val="0"/>
      <w:sz w:val="28"/>
    </w:rPr>
  </w:style>
  <w:style w:type="character" w:styleId="ListParagraph1111">
    <w:name w:val="List Paragraph1111"/>
    <w:link w:val="ListParagraph11111"/>
    <w:qFormat/>
    <w:rPr/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 таблицы"/>
    <w:basedOn w:val="Style9"/>
    <w:link w:val="16"/>
    <w:qFormat/>
    <w:rPr>
      <w:b/>
    </w:rPr>
  </w:style>
  <w:style w:type="character" w:styleId="4">
    <w:name w:val="Содержимое врезки4"/>
    <w:link w:val="411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111115">
    <w:name w:val="Название объекта11111"/>
    <w:link w:val="1111119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111116">
    <w:name w:val="Список11111"/>
    <w:basedOn w:val="Textbody1111"/>
    <w:link w:val="11111110"/>
    <w:qFormat/>
    <w:rPr/>
  </w:style>
  <w:style w:type="character" w:styleId="2">
    <w:name w:val="Колонтитул2"/>
    <w:link w:val="211"/>
    <w:qFormat/>
    <w:rPr/>
  </w:style>
  <w:style w:type="character" w:styleId="12112">
    <w:name w:val="Указатель1211"/>
    <w:link w:val="121122"/>
    <w:qFormat/>
    <w:rPr/>
  </w:style>
  <w:style w:type="character" w:styleId="122">
    <w:name w:val="Заголовок12"/>
    <w:link w:val="1221"/>
    <w:qFormat/>
    <w:rPr>
      <w:rFonts w:ascii="Open Sans" w:hAnsi="Open Sans"/>
      <w:sz w:val="28"/>
    </w:rPr>
  </w:style>
  <w:style w:type="character" w:styleId="11115">
    <w:name w:val="Содержимое врезки1111"/>
    <w:link w:val="1111120"/>
    <w:qFormat/>
    <w:rPr/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11117">
    <w:name w:val="Верхний колонтитул11111"/>
    <w:link w:val="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31">
    <w:name w:val="Содержимое врезки3"/>
    <w:link w:val="312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73">
    <w:name w:val="Contents 73"/>
    <w:link w:val="Contents731"/>
    <w:qFormat/>
    <w:rPr>
      <w:rFonts w:ascii="XO Thames" w:hAnsi="XO Thames"/>
      <w:color w:val="000000"/>
      <w:spacing w:val="0"/>
      <w:sz w:val="28"/>
    </w:rPr>
  </w:style>
  <w:style w:type="character" w:styleId="41">
    <w:name w:val="Колонтитул4"/>
    <w:link w:val="412"/>
    <w:qFormat/>
    <w:rPr/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111118">
    <w:name w:val="Заголовок11111"/>
    <w:link w:val="11111113"/>
    <w:qFormat/>
    <w:rPr>
      <w:rFonts w:ascii="Open Sans" w:hAnsi="Open Sans"/>
      <w:color w:val="000000"/>
      <w:spacing w:val="0"/>
      <w:sz w:val="28"/>
    </w:rPr>
  </w:style>
  <w:style w:type="character" w:styleId="Heading1211">
    <w:name w:val="Heading 1211"/>
    <w:link w:val="Heading12111"/>
    <w:qFormat/>
    <w:rPr>
      <w:rFonts w:ascii="XO Thames" w:hAnsi="XO Thames"/>
      <w:b/>
      <w:color w:val="000000"/>
      <w:spacing w:val="0"/>
      <w:sz w:val="32"/>
    </w:rPr>
  </w:style>
  <w:style w:type="character" w:styleId="Contents91">
    <w:name w:val="Contents 91"/>
    <w:link w:val="Contents92"/>
    <w:qFormat/>
    <w:rPr>
      <w:rFonts w:ascii="XO Thames" w:hAnsi="XO Thames"/>
      <w:color w:val="000000"/>
      <w:spacing w:val="0"/>
      <w:sz w:val="28"/>
    </w:rPr>
  </w:style>
  <w:style w:type="character" w:styleId="311111">
    <w:name w:val="Заголовок 311111"/>
    <w:link w:val="3111111"/>
    <w:qFormat/>
    <w:rPr>
      <w:rFonts w:ascii="XO Thames" w:hAnsi="XO Thames"/>
      <w:b/>
      <w:color w:val="000000"/>
      <w:spacing w:val="0"/>
      <w:sz w:val="26"/>
    </w:rPr>
  </w:style>
  <w:style w:type="character" w:styleId="123">
    <w:name w:val="Указатель12"/>
    <w:link w:val="1222"/>
    <w:qFormat/>
    <w:rPr/>
  </w:style>
  <w:style w:type="character" w:styleId="21">
    <w:name w:val="Содержимое врезки2"/>
    <w:link w:val="212"/>
    <w:qFormat/>
    <w:rPr/>
  </w:style>
  <w:style w:type="character" w:styleId="21111111">
    <w:name w:val="Заголовок2111111"/>
    <w:link w:val="211111112"/>
    <w:qFormat/>
    <w:rPr>
      <w:rFonts w:ascii="Open Sans" w:hAnsi="Open Sans"/>
      <w:sz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Колонтитул31"/>
    <w:basedOn w:val="Normal"/>
    <w:link w:val="3"/>
    <w:qFormat/>
    <w:pPr/>
    <w:rPr/>
  </w:style>
  <w:style w:type="paragraph" w:styleId="1111112">
    <w:name w:val="Нижний колонтитул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Содержимое врезки51"/>
    <w:basedOn w:val="Normal"/>
    <w:link w:val="5"/>
    <w:qFormat/>
    <w:pPr/>
    <w:rPr/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">
    <w:name w:val="Heading 51311"/>
    <w:link w:val="Heading5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">
    <w:name w:val="Заголовок 4111111"/>
    <w:link w:val="4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Содержимое таблицы1"/>
    <w:basedOn w:val="Normal"/>
    <w:link w:val="Style9"/>
    <w:qFormat/>
    <w:pPr>
      <w:widowControl w:val="false"/>
    </w:pPr>
    <w:rPr/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">
    <w:name w:val="Footer12111"/>
    <w:link w:val="Footer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">
    <w:name w:val="Footer1311"/>
    <w:link w:val="Footer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">
    <w:name w:val="index heading11111"/>
    <w:basedOn w:val="Normal"/>
    <w:link w:val="Indexheading1111"/>
    <w:qFormat/>
    <w:pPr/>
    <w:rPr/>
  </w:style>
  <w:style w:type="paragraph" w:styleId="411112">
    <w:name w:val="Колонтитул41111"/>
    <w:basedOn w:val="Normal"/>
    <w:link w:val="4111"/>
    <w:qFormat/>
    <w:pPr/>
    <w:rPr/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611">
    <w:name w:val="Колонтитул61"/>
    <w:basedOn w:val="Normal"/>
    <w:link w:val="6"/>
    <w:qFormat/>
    <w:pPr/>
    <w:rPr/>
  </w:style>
  <w:style w:type="paragraph" w:styleId="Contents431">
    <w:name w:val="Contents 431"/>
    <w:link w:val="Contents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">
    <w:name w:val="bx-messenger-ajax11111"/>
    <w:basedOn w:val="1111116"/>
    <w:link w:val="Bx-messenger-ajax1111"/>
    <w:qFormat/>
    <w:pPr/>
    <w:rPr/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2">
    <w:name w:val="Колонтитул31111"/>
    <w:basedOn w:val="Normal"/>
    <w:link w:val="3111"/>
    <w:qFormat/>
    <w:pPr/>
    <w:rPr/>
  </w:style>
  <w:style w:type="paragraph" w:styleId="DefaultParagraphFont11111">
    <w:name w:val="Default Paragraph Font11111"/>
    <w:link w:val="DefaultParagraphFon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">
    <w:name w:val="Заголовок22111"/>
    <w:basedOn w:val="Normal"/>
    <w:next w:val="BodyText"/>
    <w:link w:val="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211">
    <w:name w:val="Contents 3211"/>
    <w:link w:val="Contents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21111">
    <w:name w:val="Заголовок2112111"/>
    <w:basedOn w:val="Normal"/>
    <w:next w:val="BodyText"/>
    <w:link w:val="2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211">
    <w:name w:val="Internet link211"/>
    <w:basedOn w:val="DefaultParagraphFont11111"/>
    <w:link w:val="Internetlink21"/>
    <w:qFormat/>
    <w:pPr/>
    <w:rPr>
      <w:color w:themeColor="hyperlink" w:val="0563C1"/>
      <w:u w:val="single"/>
    </w:rPr>
  </w:style>
  <w:style w:type="paragraph" w:styleId="Title2111">
    <w:name w:val="Title2111"/>
    <w:link w:val="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31111">
    <w:name w:val="caption31111"/>
    <w:basedOn w:val="Normal"/>
    <w:link w:val="Caption3111"/>
    <w:qFormat/>
    <w:pPr>
      <w:spacing w:before="120" w:after="120"/>
    </w:pPr>
    <w:rPr>
      <w:i/>
      <w:sz w:val="24"/>
    </w:rPr>
  </w:style>
  <w:style w:type="paragraph" w:styleId="Caption12111">
    <w:name w:val="Caption12111"/>
    <w:link w:val="Caption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">
    <w:name w:val="Contents 811111"/>
    <w:link w:val="Contents8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">
    <w:name w:val="List12111"/>
    <w:basedOn w:val="Textbody11111"/>
    <w:link w:val="List1211"/>
    <w:qFormat/>
    <w:pPr/>
    <w:rPr/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">
    <w:name w:val="Заголовок 5111111"/>
    <w:link w:val="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9">
    <w:name w:val="Заголовок таблицы11111"/>
    <w:basedOn w:val="1111118"/>
    <w:link w:val="1111"/>
    <w:qFormat/>
    <w:pPr>
      <w:jc w:val="center"/>
    </w:pPr>
    <w:rPr>
      <w:b/>
    </w:rPr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">
    <w:name w:val="Internet link11111"/>
    <w:basedOn w:val="DefaultParagraphFont11111"/>
    <w:link w:val="Internetlink1111"/>
    <w:qFormat/>
    <w:pPr/>
    <w:rPr>
      <w:color w:themeColor="hyperlink" w:val="0563C1"/>
      <w:u w:val="single"/>
    </w:rPr>
  </w:style>
  <w:style w:type="paragraph" w:styleId="Contents631">
    <w:name w:val="Contents 631"/>
    <w:link w:val="Contents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">
    <w:name w:val="Balloon Text11111"/>
    <w:basedOn w:val="Normal"/>
    <w:link w:val="BalloonText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51111">
    <w:name w:val="Колонтитул51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1">
    <w:name w:val="Указатель1212"/>
    <w:basedOn w:val="Normal"/>
    <w:link w:val="121"/>
    <w:qFormat/>
    <w:pPr/>
    <w:rPr/>
  </w:style>
  <w:style w:type="paragraph" w:styleId="Heading1121">
    <w:name w:val="Heading 1121"/>
    <w:link w:val="Heading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112">
    <w:name w:val="Заголовок121112"/>
    <w:basedOn w:val="Normal"/>
    <w:next w:val="BodyText"/>
    <w:link w:val="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PlainText11111">
    <w:name w:val="Plain Text11111"/>
    <w:basedOn w:val="Normal"/>
    <w:link w:val="PlainText1111"/>
    <w:qFormat/>
    <w:pPr>
      <w:spacing w:lineRule="auto" w:line="240" w:before="0" w:after="0"/>
    </w:pPr>
    <w:rPr>
      <w:rFonts w:ascii="Calibri" w:hAnsi="Calibri"/>
    </w:rPr>
  </w:style>
  <w:style w:type="paragraph" w:styleId="List1311">
    <w:name w:val="List1311"/>
    <w:basedOn w:val="Textbody11111"/>
    <w:link w:val="List131"/>
    <w:qFormat/>
    <w:pPr/>
    <w:rPr/>
  </w:style>
  <w:style w:type="paragraph" w:styleId="Heading512111">
    <w:name w:val="Heading 512111"/>
    <w:link w:val="Heading5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21111">
    <w:name w:val="Указатель212111"/>
    <w:basedOn w:val="Normal"/>
    <w:link w:val="21211"/>
    <w:qFormat/>
    <w:pPr/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">
    <w:name w:val="Heading 31311"/>
    <w:link w:val="Heading3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Знак примечания111111"/>
    <w:basedOn w:val="1111116"/>
    <w:link w:val="111111"/>
    <w:qFormat/>
    <w:pPr/>
    <w:rPr>
      <w:sz w:val="16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3">
    <w:name w:val="Колонтитул51"/>
    <w:basedOn w:val="Normal"/>
    <w:link w:val="51"/>
    <w:qFormat/>
    <w:pPr/>
    <w:rPr/>
  </w:style>
  <w:style w:type="paragraph" w:styleId="Contents111111">
    <w:name w:val="Contents 111111"/>
    <w:link w:val="Contents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3">
    <w:name w:val="Header13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11">
    <w:name w:val="Endnote11111"/>
    <w:link w:val="End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">
    <w:name w:val="Contents 611111"/>
    <w:link w:val="Contents6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2">
    <w:name w:val="Содержимое врезки61"/>
    <w:basedOn w:val="Normal"/>
    <w:link w:val="61"/>
    <w:qFormat/>
    <w:pPr/>
    <w:rPr/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6">
    <w:name w:val="Указатель1111"/>
    <w:basedOn w:val="Normal"/>
    <w:link w:val="111"/>
    <w:qFormat/>
    <w:pPr/>
    <w:rPr/>
  </w:style>
  <w:style w:type="paragraph" w:styleId="1211121">
    <w:name w:val="Указатель121112"/>
    <w:basedOn w:val="Normal"/>
    <w:link w:val="121111"/>
    <w:qFormat/>
    <w:pPr/>
    <w:rPr/>
  </w:style>
  <w:style w:type="paragraph" w:styleId="11111111">
    <w:name w:val="Заголовок 1111111"/>
    <w:link w:val="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14">
    <w:name w:val="Указатель111111"/>
    <w:link w:val="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">
    <w:name w:val="Указатель1211111"/>
    <w:basedOn w:val="Normal"/>
    <w:link w:val="1211111"/>
    <w:qFormat/>
    <w:pPr/>
    <w:rPr/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basedOn w:val="DefaultParagraphFont11111"/>
    <w:link w:val="Internetlink"/>
    <w:qFormat/>
    <w:pPr/>
    <w:rPr>
      <w:color w:themeColor="hyperlink" w:val="0563C1"/>
      <w:u w:val="single"/>
    </w:rPr>
  </w:style>
  <w:style w:type="paragraph" w:styleId="Contents211111">
    <w:name w:val="Contents 211111"/>
    <w:link w:val="Contents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5">
    <w:name w:val="Подзаголовок111111"/>
    <w:link w:val="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Символ нумерации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">
    <w:name w:val="Contents 331"/>
    <w:link w:val="Contents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3">
    <w:name w:val="Содержимое врезки41111"/>
    <w:basedOn w:val="Normal"/>
    <w:link w:val="41111"/>
    <w:qFormat/>
    <w:pPr/>
    <w:rPr/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2">
    <w:name w:val="Заголовок1211111"/>
    <w:basedOn w:val="Normal"/>
    <w:next w:val="BodyText"/>
    <w:link w:val="12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2111">
    <w:name w:val="Heading 312111"/>
    <w:link w:val="Heading3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0">
    <w:name w:val="Символ нумерации11111"/>
    <w:link w:val="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112">
    <w:name w:val="Колонтитул21111"/>
    <w:basedOn w:val="Normal"/>
    <w:link w:val="2111"/>
    <w:qFormat/>
    <w:pPr/>
    <w:rPr/>
  </w:style>
  <w:style w:type="paragraph" w:styleId="1111116">
    <w:name w:val="Основной шрифт абзаца111111"/>
    <w:link w:val="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basedOn w:val="DefaultParagraphFont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1111">
    <w:name w:val="annotation subject11111"/>
    <w:basedOn w:val="Annotationtext11111"/>
    <w:next w:val="Annotationtext11111"/>
    <w:link w:val="Annotationsubject1111"/>
    <w:qFormat/>
    <w:pPr/>
    <w:rPr>
      <w:b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21112">
    <w:name w:val="Указатель2112111"/>
    <w:basedOn w:val="Normal"/>
    <w:link w:val="2112111"/>
    <w:qFormat/>
    <w:pPr/>
    <w:rPr/>
  </w:style>
  <w:style w:type="paragraph" w:styleId="211113">
    <w:name w:val="Содержимое таблицы21111"/>
    <w:basedOn w:val="Normal"/>
    <w:link w:val="21111"/>
    <w:qFormat/>
    <w:pPr>
      <w:widowControl w:val="false"/>
    </w:pPr>
    <w:rPr/>
  </w:style>
  <w:style w:type="paragraph" w:styleId="Contents411111">
    <w:name w:val="Contents 411111"/>
    <w:link w:val="Contents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">
    <w:name w:val="Contents 511111"/>
    <w:link w:val="Contents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">
    <w:name w:val="Заголовок12112"/>
    <w:basedOn w:val="Normal"/>
    <w:next w:val="BodyText"/>
    <w:link w:val="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211">
    <w:name w:val="Contents 5211"/>
    <w:link w:val="Contents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">
    <w:name w:val="List121"/>
    <w:basedOn w:val="Textbody11111"/>
    <w:link w:val="List12"/>
    <w:qFormat/>
    <w:pPr/>
    <w:rPr/>
  </w:style>
  <w:style w:type="paragraph" w:styleId="Contents9111">
    <w:name w:val="Contents 9111"/>
    <w:link w:val="Contents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2">
    <w:name w:val="Заголовок212111"/>
    <w:basedOn w:val="Normal"/>
    <w:next w:val="BodyText"/>
    <w:link w:val="2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3">
    <w:name w:val="Содержимое врезки11"/>
    <w:basedOn w:val="Normal"/>
    <w:link w:val="11"/>
    <w:qFormat/>
    <w:pPr/>
    <w:rPr/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22">
    <w:name w:val="Заголовок1212"/>
    <w:basedOn w:val="Normal"/>
    <w:next w:val="BodyText"/>
    <w:link w:val="12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">
    <w:name w:val="Internet link111"/>
    <w:basedOn w:val="DefaultParagraphFont11111"/>
    <w:link w:val="Internetlink11"/>
    <w:qFormat/>
    <w:pPr/>
    <w:rPr>
      <w:color w:themeColor="hyperlink" w:val="0563C1"/>
      <w:u w:val="single"/>
    </w:rPr>
  </w:style>
  <w:style w:type="paragraph" w:styleId="Heading113">
    <w:name w:val="Heading 113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51112">
    <w:name w:val="Содержимое врезки5111"/>
    <w:basedOn w:val="Normal"/>
    <w:link w:val="5111"/>
    <w:qFormat/>
    <w:pPr/>
    <w:rPr/>
  </w:style>
  <w:style w:type="paragraph" w:styleId="Docdata11111">
    <w:name w:val="docdata11111"/>
    <w:basedOn w:val="1111116"/>
    <w:link w:val="Docdata1111"/>
    <w:qFormat/>
    <w:pPr/>
    <w:rPr/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7">
    <w:name w:val="Заголовок1111"/>
    <w:basedOn w:val="Normal"/>
    <w:next w:val="BodyText"/>
    <w:link w:val="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211">
    <w:name w:val="Contents 4211"/>
    <w:link w:val="Contents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4">
    <w:name w:val="Содержимое врезки21111"/>
    <w:basedOn w:val="Normal"/>
    <w:link w:val="21112"/>
    <w:qFormat/>
    <w:pPr/>
    <w:rPr/>
  </w:style>
  <w:style w:type="paragraph" w:styleId="Heading3121">
    <w:name w:val="Heading 3121"/>
    <w:link w:val="Heading3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11111">
    <w:name w:val="Header11111"/>
    <w:link w:val="Head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2">
    <w:name w:val="Указатель22111"/>
    <w:basedOn w:val="Normal"/>
    <w:link w:val="22111"/>
    <w:qFormat/>
    <w:pPr/>
    <w:rPr/>
  </w:style>
  <w:style w:type="paragraph" w:styleId="Annotationtext11111">
    <w:name w:val="annotation text11111"/>
    <w:basedOn w:val="Normal"/>
    <w:link w:val="Annotationtext1111"/>
    <w:qFormat/>
    <w:pPr>
      <w:spacing w:lineRule="auto" w:line="240"/>
    </w:pPr>
    <w:rPr>
      <w:sz w:val="20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">
    <w:name w:val="Text body11111"/>
    <w:link w:val="Textbody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1">
    <w:name w:val="Heading 5121"/>
    <w:link w:val="Heading5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7">
    <w:name w:val="Колонтитул11111"/>
    <w:link w:val="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111111">
    <w:name w:val="Указатель21111111"/>
    <w:basedOn w:val="Normal"/>
    <w:link w:val="2111111"/>
    <w:qFormat/>
    <w:pPr/>
    <w:rPr/>
  </w:style>
  <w:style w:type="paragraph" w:styleId="Contents911111">
    <w:name w:val="Contents 911111"/>
    <w:link w:val="Contents9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11">
    <w:name w:val="Contents 711111"/>
    <w:link w:val="Contents7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8">
    <w:name w:val="Содержимое таблицы11111"/>
    <w:basedOn w:val="Normal"/>
    <w:link w:val="11114"/>
    <w:qFormat/>
    <w:pPr>
      <w:widowControl w:val="false"/>
    </w:pPr>
    <w:rPr/>
  </w:style>
  <w:style w:type="paragraph" w:styleId="Header2111">
    <w:name w:val="Header2111"/>
    <w:link w:val="Head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5">
    <w:name w:val="Заголовок таблицы21111"/>
    <w:basedOn w:val="211113"/>
    <w:link w:val="21113"/>
    <w:qFormat/>
    <w:pPr>
      <w:jc w:val="center"/>
    </w:pPr>
    <w:rPr>
      <w:b/>
    </w:rPr>
  </w:style>
  <w:style w:type="paragraph" w:styleId="114">
    <w:name w:val="Указатель11"/>
    <w:basedOn w:val="Normal"/>
    <w:link w:val="12"/>
    <w:qFormat/>
    <w:pPr/>
    <w:rPr/>
  </w:style>
  <w:style w:type="paragraph" w:styleId="21111112">
    <w:name w:val="Заголовок 2111111"/>
    <w:link w:val="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">
    <w:name w:val="Heading 513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Колонтитул11"/>
    <w:link w:val="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">
    <w:name w:val="Heading 111111"/>
    <w:link w:val="Heading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3">
    <w:name w:val="List13"/>
    <w:basedOn w:val="Textbody11111"/>
    <w:link w:val="List11"/>
    <w:qFormat/>
    <w:pPr/>
    <w:rPr/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3">
    <w:name w:val="Содержимое врезки31111"/>
    <w:basedOn w:val="Normal"/>
    <w:link w:val="31111"/>
    <w:qFormat/>
    <w:pPr/>
    <w:rPr/>
  </w:style>
  <w:style w:type="paragraph" w:styleId="Contents531">
    <w:name w:val="Contents 531"/>
    <w:link w:val="Contents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">
    <w:name w:val="List Paragraph11111"/>
    <w:basedOn w:val="Normal"/>
    <w:link w:val="ListParagraph1111"/>
    <w:qFormat/>
    <w:pPr>
      <w:spacing w:before="0" w:after="160"/>
      <w:ind w:hanging="0" w:left="720" w:right="0"/>
      <w:contextualSpacing/>
    </w:pPr>
    <w:rPr/>
  </w:style>
  <w:style w:type="paragraph" w:styleId="Contents311111">
    <w:name w:val="Contents 311111"/>
    <w:link w:val="Contents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Заголовок таблицы1"/>
    <w:basedOn w:val="14"/>
    <w:link w:val="Style11"/>
    <w:qFormat/>
    <w:pPr>
      <w:jc w:val="center"/>
    </w:pPr>
    <w:rPr>
      <w:b/>
    </w:rPr>
  </w:style>
  <w:style w:type="paragraph" w:styleId="411">
    <w:name w:val="Содержимое врезки41"/>
    <w:basedOn w:val="Normal"/>
    <w:link w:val="4"/>
    <w:qFormat/>
    <w:pPr/>
    <w:rPr/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9">
    <w:name w:val="Название объекта111111"/>
    <w:link w:val="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0">
    <w:name w:val="Список111111"/>
    <w:basedOn w:val="Textbody11111"/>
    <w:link w:val="111116"/>
    <w:qFormat/>
    <w:pPr/>
    <w:rPr/>
  </w:style>
  <w:style w:type="paragraph" w:styleId="211">
    <w:name w:val="Колонтитул21"/>
    <w:basedOn w:val="Normal"/>
    <w:link w:val="2"/>
    <w:qFormat/>
    <w:pPr/>
    <w:rPr/>
  </w:style>
  <w:style w:type="paragraph" w:styleId="121122">
    <w:name w:val="Указатель12112"/>
    <w:basedOn w:val="Normal"/>
    <w:link w:val="12112"/>
    <w:qFormat/>
    <w:pPr/>
    <w:rPr/>
  </w:style>
  <w:style w:type="paragraph" w:styleId="1221">
    <w:name w:val="Заголовок122"/>
    <w:basedOn w:val="Normal"/>
    <w:next w:val="BodyText"/>
    <w:link w:val="12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20">
    <w:name w:val="Содержимое врезки11111"/>
    <w:basedOn w:val="Normal"/>
    <w:link w:val="11115"/>
    <w:qFormat/>
    <w:pPr/>
    <w:rPr/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">
    <w:name w:val="Верхний колонтитул111111"/>
    <w:link w:val="111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12">
    <w:name w:val="Содержимое врезки31"/>
    <w:basedOn w:val="Normal"/>
    <w:link w:val="31"/>
    <w:qFormat/>
    <w:pPr/>
    <w:rPr/>
  </w:style>
  <w:style w:type="paragraph" w:styleId="Contents731">
    <w:name w:val="Contents 731"/>
    <w:link w:val="Contents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Колонтитул41"/>
    <w:basedOn w:val="Normal"/>
    <w:link w:val="41"/>
    <w:qFormat/>
    <w:pPr/>
    <w:rPr/>
  </w:style>
  <w:style w:type="paragraph" w:styleId="Contents7211">
    <w:name w:val="Contents 7211"/>
    <w:link w:val="Contents7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3">
    <w:name w:val="Заголовок111111"/>
    <w:link w:val="111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">
    <w:name w:val="Heading 12111"/>
    <w:link w:val="Heading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">
    <w:name w:val="Заголовок 3111111"/>
    <w:link w:val="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22">
    <w:name w:val="Указатель122"/>
    <w:basedOn w:val="Normal"/>
    <w:link w:val="123"/>
    <w:qFormat/>
    <w:pPr/>
    <w:rPr/>
  </w:style>
  <w:style w:type="paragraph" w:styleId="212">
    <w:name w:val="Содержимое врезки21"/>
    <w:basedOn w:val="Normal"/>
    <w:link w:val="21"/>
    <w:qFormat/>
    <w:pPr/>
    <w:rPr/>
  </w:style>
  <w:style w:type="paragraph" w:styleId="211111112">
    <w:name w:val="Заголовок21111111"/>
    <w:basedOn w:val="Normal"/>
    <w:next w:val="BodyText"/>
    <w:link w:val="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5">
    <w:name w:val="Содержимое врезки"/>
    <w:basedOn w:val="Normal"/>
    <w:qFormat/>
    <w:pPr/>
    <w:rPr/>
  </w:style>
  <w:style w:type="table" w:styleId="Style_196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Application>LibreOffice/7.6.0.3$Linux_X86_64 LibreOffice_project/60$Build-3</Application>
  <AppVersion>15.0000</AppVersion>
  <Pages>9</Pages>
  <Words>2530</Words>
  <Characters>16104</Characters>
  <CharactersWithSpaces>18273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2024-04-03T14:39:07Z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