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i w:val="false"/>
          <w:i w:val="false"/>
          <w:iCs w:val="false"/>
        </w:rPr>
      </w:pPr>
      <w:r>
        <w:rPr>
          <w:i w:val="false"/>
          <w:iCs w:val="false"/>
        </w:rPr>
        <w:t>Информация по вопросу 1</w:t>
        <w:br/>
        <w:t>о внедрении Муниципального инвестиционного стандарта</w:t>
      </w:r>
    </w:p>
    <w:p>
      <w:pPr>
        <w:pStyle w:val="Normal"/>
        <w:spacing w:lineRule="auto" w:line="24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>В соответствии с Методическими рекомендациями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«Регионального инвестиционного стандарта 2.0»)», утвержденными приказом Минэкономразвития России (от 26.09.2023 № 672) муниципальным образованиям в целях формирования единого подхода к сопровождению инвестиционных проектов поручено внедрить необходимые для внедрения Муниципального стандарта элементы: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 xml:space="preserve">1) </w:t>
      </w:r>
      <w:r>
        <w:rPr>
          <w:b/>
          <w:bCs/>
          <w:i w:val="false"/>
          <w:iCs w:val="false"/>
          <w:shd w:fill="auto" w:val="clear"/>
        </w:rPr>
        <w:t>раздел в сфере инвестиционной деятельности на официальном сайте органа местного самоуправления</w:t>
      </w:r>
      <w:r>
        <w:rPr>
          <w:i w:val="false"/>
          <w:iCs w:val="false"/>
          <w:shd w:fill="auto" w:val="clear"/>
        </w:rPr>
        <w:t xml:space="preserve"> (на информационном ресурсе муниципального образования в информационно-телекоммуникационной сети «Интернет»);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 xml:space="preserve">2) </w:t>
      </w:r>
      <w:r>
        <w:rPr>
          <w:b/>
          <w:bCs/>
          <w:i w:val="false"/>
          <w:iCs w:val="false"/>
          <w:shd w:fill="auto" w:val="clear"/>
        </w:rPr>
        <w:t xml:space="preserve">инвестиционный профиль муниципального образования </w:t>
      </w:r>
      <w:r>
        <w:rPr>
          <w:b w:val="false"/>
          <w:bCs w:val="false"/>
          <w:i w:val="false"/>
          <w:iCs w:val="false"/>
          <w:shd w:fill="auto" w:val="clear"/>
        </w:rPr>
        <w:t>(</w:t>
      </w:r>
      <w:r>
        <w:rPr>
          <w:i w:val="false"/>
          <w:iCs w:val="false"/>
          <w:shd w:fill="auto" w:val="clear"/>
        </w:rPr>
        <w:t>наличие в муниципальном образовании комплексного информационного документа в виде презентационного материала с графическим отображением статистических данных, содержащего информацию из инвестиционного паспорта муниципального образования или документа стратегического планирования, разрабатываемого на уровне муниципального образования, необходимую инвестору для принятия решения о вложении инвестиций в инвестиционные проекты, реализуемые на территории муниципального образования, согласованного главой местной администрации и размещенного на информационном ресурсе муниципального образования в информационно-телекоммуникационной сети «Интернет»);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 xml:space="preserve">3) </w:t>
      </w:r>
      <w:r>
        <w:rPr>
          <w:b/>
          <w:bCs/>
          <w:i w:val="false"/>
          <w:iCs w:val="false"/>
          <w:shd w:fill="auto" w:val="clear"/>
        </w:rPr>
        <w:t>инвестиционный уполномоченный</w:t>
      </w:r>
      <w:r>
        <w:rPr>
          <w:i w:val="false"/>
          <w:iCs w:val="false"/>
          <w:shd w:fill="auto" w:val="clear"/>
        </w:rPr>
        <w:t xml:space="preserve"> (главе местной администрации рекомендуется возложить ответственность за оказание содействия в реализ</w:t>
      </w:r>
      <w:r>
        <w:rPr>
          <w:i w:val="false"/>
          <w:iCs w:val="false"/>
        </w:rPr>
        <w:t>ации инвестиционных проектов на территории муниципального образования и привлечение новых инвесторов на должностное лицо в должности не ниже заместителя главы местной администрации и (или) структурное подразделение местной администрации, основными обязанностями сотрудников которого являются оказание содействия в реализации инвестиционных проектов на те</w:t>
      </w:r>
      <w:r>
        <w:rPr>
          <w:i w:val="false"/>
          <w:iCs w:val="false"/>
          <w:shd w:fill="auto" w:val="clear"/>
        </w:rPr>
        <w:t>рритории муниципального образования и привлечение новых инвесторов);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 xml:space="preserve">4) </w:t>
      </w:r>
      <w:r>
        <w:rPr>
          <w:b/>
          <w:bCs/>
          <w:i w:val="false"/>
          <w:iCs w:val="false"/>
          <w:shd w:fill="auto" w:val="clear"/>
        </w:rPr>
        <w:t xml:space="preserve">совещательный орган при главе местной администрации </w:t>
      </w:r>
      <w:r>
        <w:rPr>
          <w:i w:val="false"/>
          <w:iCs w:val="false"/>
          <w:shd w:fill="auto" w:val="clear"/>
        </w:rPr>
        <w:t>(при главе местной администрации рекомендуется сформировать совещательный орган, основной функцией которого является рассмотрение вопросов содействия реализации инвестиционных проектов, сопровождаемых на уровне муниципального образования 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>5) </w:t>
      </w:r>
      <w:r>
        <w:rPr>
          <w:b/>
          <w:bCs/>
          <w:i w:val="false"/>
          <w:iCs w:val="false"/>
          <w:shd w:fill="auto" w:val="clear"/>
        </w:rPr>
        <w:t>раздел на сайте, содержащий информацию о реализации инвестиционных проектов на территории муниципального образования, создании необходимой для инвесторов инфраструктуры</w:t>
      </w:r>
      <w:r>
        <w:rPr>
          <w:i w:val="false"/>
          <w:iCs w:val="false"/>
          <w:shd w:fill="auto" w:val="clear"/>
        </w:rPr>
        <w:t xml:space="preserve"> (должен содержа</w:t>
      </w:r>
      <w:r>
        <w:rPr>
          <w:i w:val="false"/>
          <w:iCs w:val="false"/>
        </w:rPr>
        <w:t>ться в документе стратегического планирования, разрабатываемом на уровне муни</w:t>
      </w:r>
      <w:r>
        <w:rPr>
          <w:i w:val="false"/>
          <w:iCs w:val="false"/>
          <w:shd w:fill="auto" w:val="clear"/>
        </w:rPr>
        <w:t>ципального образования);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>6) </w:t>
      </w:r>
      <w:r>
        <w:rPr>
          <w:b/>
          <w:bCs/>
          <w:i w:val="false"/>
          <w:iCs w:val="false"/>
          <w:shd w:fill="auto" w:val="clear"/>
        </w:rPr>
        <w:t>регламент сопровождения инвестиционных проектов</w:t>
      </w:r>
      <w:r>
        <w:rPr>
          <w:i w:val="false"/>
          <w:iCs w:val="false"/>
          <w:shd w:fill="auto" w:val="clear"/>
        </w:rPr>
        <w:t xml:space="preserve"> (утверждается местной администрацией рекомендуется, содержит в себе разъясняющую схему взаимодействия инвестора с органами местного самоуправления муниципального образования, сроки выполнения органами местного самоуправления муниципального образования мероприятий на каждом этапе реализации инвестиционного проекта, порядок взаимодействия инвестора с местной администрацией, а также функциональные обязанности структурных подразделений органов местного самоуправления, ответственных за оказание содействия в реализации инвестиционных проектов на территории муниципального образования и привлечение новых инвесторов, в том числе в части оказания муниципальных услуг);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>7) </w:t>
      </w:r>
      <w:r>
        <w:rPr>
          <w:b/>
          <w:bCs/>
          <w:i w:val="false"/>
          <w:iCs w:val="false"/>
          <w:shd w:fill="auto" w:val="clear"/>
        </w:rPr>
        <w:t>ключевые показатели эффективности деятельности главы местной администрации и инвестиционного уполномоченного муниципального образования</w:t>
      </w:r>
      <w:r>
        <w:rPr>
          <w:i w:val="false"/>
          <w:iCs w:val="false"/>
          <w:shd w:fill="auto" w:val="clear"/>
        </w:rPr>
        <w:t xml:space="preserve"> (представительному органу муниципального образования рекомендуется утвердить ключевые показатели эффективности деятельности указанным лица</w:t>
      </w:r>
      <w:r>
        <w:rPr>
          <w:i w:val="false"/>
          <w:iCs w:val="false"/>
        </w:rPr>
        <w:t xml:space="preserve">м, включая соответствующие механизмы мотивации. В качестве ключевых показателей эффективности главы местной администрации и инвестиционного уполномоченного муниципального образования рекомендуется использовать следующие показатели: 1) количество инвестиционных проектов, реализованных на территории муниципального образования в течение трех лет, предшествующих текущему году (ед.); 2) количество инвестиционных проектов, реализуемых и планируемых к реализации на территории муниципального образования в текущем году (ед.); 3) объем инвестиций, направленных на реализацию инвестиционных проектов на территории муниципального образования в течение трех лет, предшествующих текущему году, в расчете на 1 жителя (руб.);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 xml:space="preserve">8) </w:t>
      </w:r>
      <w:r>
        <w:rPr>
          <w:b/>
          <w:bCs/>
          <w:i w:val="false"/>
          <w:iCs w:val="false"/>
          <w:shd w:fill="auto" w:val="clear"/>
        </w:rPr>
        <w:t xml:space="preserve">механизм обратной связи между инвесторами и муниципальным образованием. </w:t>
      </w:r>
      <w:r>
        <w:rPr>
          <w:b w:val="false"/>
          <w:bCs w:val="false"/>
          <w:i w:val="false"/>
          <w:iCs w:val="false"/>
          <w:shd w:fill="auto" w:val="clear"/>
        </w:rPr>
        <w:t xml:space="preserve">По данному направлению будут доведены рекомендации от Минэкономразвития России. Ожидается, что механизм будет реализован через единую плдатформу </w:t>
      </w:r>
      <w:r>
        <w:rPr>
          <w:i w:val="false"/>
          <w:iCs w:val="false"/>
          <w:shd w:fill="auto" w:val="clear"/>
        </w:rPr>
        <w:t>(местной администрации рекомендуется обеспечить наличие механизма обратной связи между инвесторами и главой местной администрации, и (или) сотрудниками структурного подразделения администрации муниципального образования, основными обязанностями которых являются оказание содействия в реализации инвестиционных проектов на территории муниципального образования и привлечение новых инвесторов, и (или) членами инвестиционного совета муниципального образования);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hd w:fill="auto" w:val="clear"/>
        </w:rPr>
        <w:t>9) </w:t>
      </w:r>
      <w:r>
        <w:rPr>
          <w:b/>
          <w:bCs/>
          <w:i w:val="false"/>
          <w:iCs w:val="false"/>
          <w:shd w:fill="auto" w:val="clear"/>
        </w:rPr>
        <w:t xml:space="preserve">регулярное прохождение профессиональной переподготовки и повышение квалификации </w:t>
      </w:r>
      <w:r>
        <w:rPr>
          <w:i w:val="false"/>
          <w:iCs w:val="false"/>
          <w:shd w:fill="auto" w:val="clear"/>
        </w:rPr>
        <w:t>главой местной администрации и сотрудниками структурного подразделения администрации муниципального образования, ответственными за оказание содействия в реализации инвестиционных проектов;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color w:val="000000"/>
          <w:sz w:val="28"/>
          <w:szCs w:val="28"/>
          <w:shd w:fill="auto" w:val="clear"/>
        </w:rPr>
        <w:t xml:space="preserve">10) </w:t>
      </w:r>
      <w:r>
        <w:rPr>
          <w:b/>
          <w:bCs/>
          <w:i w:val="false"/>
          <w:iCs w:val="false"/>
          <w:color w:val="000000"/>
          <w:sz w:val="28"/>
          <w:szCs w:val="28"/>
          <w:shd w:fill="auto" w:val="clear"/>
        </w:rPr>
        <w:t>с</w:t>
      </w:r>
      <w:r>
        <w:rPr>
          <w:rFonts w:ascii="Times New Roman;Times" w:hAnsi="Times New Roman;Times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оглашение о сотрудничестве между муниципальным образованием</w:t>
      </w:r>
      <w:r>
        <w:rPr>
          <w:b/>
          <w:bCs/>
          <w:i w:val="false"/>
          <w:iCs w:val="false"/>
          <w:color w:val="000000"/>
          <w:sz w:val="28"/>
          <w:szCs w:val="28"/>
          <w:shd w:fill="auto" w:val="clear"/>
        </w:rPr>
        <w:t xml:space="preserve"> Камчат</w:t>
      </w:r>
      <w:r>
        <w:rPr>
          <w:b/>
          <w:bCs/>
          <w:i w:val="false"/>
          <w:iCs w:val="false"/>
          <w:sz w:val="28"/>
          <w:szCs w:val="28"/>
          <w:shd w:fill="auto" w:val="clear"/>
        </w:rPr>
        <w:t>ского края и агентством развития Камчатского края</w:t>
      </w:r>
      <w:r>
        <w:rPr>
          <w:i w:val="false"/>
          <w:iCs w:val="false"/>
          <w:sz w:val="28"/>
          <w:szCs w:val="28"/>
          <w:shd w:fill="auto" w:val="clear"/>
        </w:rPr>
        <w:t>,</w:t>
      </w:r>
      <w:r>
        <w:rPr>
          <w:i w:val="false"/>
          <w:iCs w:val="false"/>
          <w:sz w:val="28"/>
          <w:szCs w:val="28"/>
        </w:rPr>
        <w:t xml:space="preserve"> которым является АО «Корпорация развития Камчатк</w:t>
      </w:r>
      <w:r>
        <w:rPr>
          <w:i w:val="false"/>
          <w:iCs w:val="false"/>
        </w:rPr>
        <w:t xml:space="preserve">и». В соответствии с частью 16 Методических рекомендаций муниципальному образованию рекомендуется </w:t>
      </w:r>
      <w:r>
        <w:rPr>
          <w:b/>
          <w:bCs/>
          <w:i w:val="false"/>
          <w:iCs w:val="false"/>
        </w:rPr>
        <w:t xml:space="preserve">заключить соглашение о сотрудничестве с агентством развития </w:t>
      </w:r>
      <w:r>
        <w:rPr>
          <w:i w:val="false"/>
          <w:iCs w:val="false"/>
        </w:rPr>
        <w:t>субъекта Российской Федерации.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  <w:r>
        <w:br w:type="page"/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Аналитика внедрения элементов по муниципальным образованиям:</w:t>
      </w:r>
      <w:r>
        <w:rPr>
          <w:i w:val="false"/>
          <w:iCs w:val="false"/>
        </w:rPr>
        <w:t>(количество внедренных элементов Муниципального стандарта):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1. Петропавловск-Камчатский городской округ — внедрены 8 из 10 (НЕ внедрены инвестиционный профиль и ключевые показатели эффективности).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2. Елизовский муниципальный район — внедрены 8 из 10 (НЕ внедрены инвестиционный профиль и ключевые показатели эффективности).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3. Соболевский муниципальный район — внедрены 8 из 10 (НЕ внедрены инвестиционный профиль и ключевые показатели эффективности).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4. Олюторский муниципальный район — внедрены 8 из 10 (НЕ внедрены Регламент сопровождения инвестиционных проектов и не организовывалась профессиональная переподготовка или повышение квалификации кадров).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5. Быстринский муниципальный район — внедрены 8 из 10 (НЕ внедрены инвестиционный профиль и ключевые показатели эффективности).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6. Вилючиский городской округ — внедрены 8 из 10 (НЕ внедрены инвестиционный профиль и ключевые показатели эффективности).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7. Усть-Большерецкий муниципальный район — внедрены 6 из 10 (НЕ внедрены инвестиционный профиль, Регламент сопровождения инвестиционных проектов, ключевые показатели эффективности, профессиональная переподготовка или повышение квалификации кадров).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8. Усть-Камчатский муниципальный район — внедрены 6 из 10 (НЕ внедрены инвестиционный профиль, Регламент сопровождения инвестиционных проектов, ключевые показатели эффективности, профессиональная переподготовка или повышение квалификации кадров).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9. Городской округ «поселок Палана» — внедрены 6 из 10 (НЕ внедрены инвестиционный профиль, Регламент сопровождения инвестиционных проектов, ключевые показатели эффективности, профессиональная переподготовка или повышение квалификации кадров).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10. Пенжинский муниципальный район — внедрены 6 из 10 (НЕ внедрены инвестиционный профиль, отсутствует раздел на сайте о реализации инвест.проектов,  ключевые показатели эффективности, профессиональная переподготовка или повышение квалификации кадров).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11. Мильковский муниципальный округ — внедрены 6 из 10 (НЕ внедрены инвестиционный профиль, отсутствует раздел на сайте о реализации инвест.проектов,  ключевые показатели эффективности, профессиональная переподготовка или повышение квалификации кадров).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12. Тигильский муниципальный район — внедрены 6 из 10 (НЕ внедрены инвестиционный профиль, отсутствует инвестиционный уполномоченный,  ключевые показатели эффективности, профессиональная переподготовка или повышение квалификации кадров).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13. Алеутский муниципальный округ — внедрены 5 из 10 (НЕ внедрены инвестиционный профиль, отсутствует раздел на сайте о реализации инвест.проектов,  ключевые показатели эффективности, профессиональная переподготовка или повышение квалификации кадров).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14. Карагинский муниципальный район — внедрены 4 из 10 (НЕ внедрены инвестиционный профиль, отсутствует раздел на сайте о реализации инвест.проектов,  ключевые показатели эффективности, механизм обратной связи с инвестором, профессиональная переподготовка или повышение квалификации кадров).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Среди всех субъектов Российской Федерации Камчатский край вошел в число регионов, соответствие внедрения Мунинвестстандарта в котором выше, чем в среднем по стране — 76 % соответствия.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По итогам проведенной 20.02.2024 Комиссии ГосСовета по «Инвестициям» в 2024 году на федеральном уровне запланирован ряд мероприятий совместно с НААИР в части внедрения Муниципального инвестиционного стандарта: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1) системное обучение муниципальных команд (запланировано создание Телеграм-канал для муниципалитетов, проведение тематических сессий в рамках обучения в РАНХиГС и межмуниципальных инвест.форумов);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2) формирование коробочных решений для муниципалитетов (рекомендации, дизайн-шаблоны, инструкции для создания муниципальных инвестиционных профилей, типовых соглашений с агентством развития, типовых регламентов сопровождения на местах);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3) проведение 4 межмуниципальных форумов (в Тюменской области, республике Татарстан, Липецкой области и Краснодарском крае);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4) формирование рекомендаций для проведения акселерационных программ (на основании практики Тюменской области, практики ПАО «ГМК «Норильский никель», с привлечением крупного бизнеса к проведению программ);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5) формирование системы мотивации муниципальных образований (для активизации работы с инвесторами. Включение муниципального направления в Премию НААИР «Лидеры инвестиционного развития» и включение лучших инвестиционных уполномоченных муниципалитетов в квоту на форум по РИС);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6) повышение процента соответствия Мунинвестстандарту (формирование пула экспертов на площадке НААИР для методической поддержки муниципалитетов, публикация практик по работе с бизнесом на «муниципалитет.РФ»).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340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Verdan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altName w:val="Times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4</w:t>
    </w:r>
    <w:r>
      <w:rPr>
        <w:sz w:val="24"/>
        <w:szCs w:val="24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spacing w:before="240" w:after="60"/>
      <w:outlineLvl w:val="0"/>
    </w:pPr>
    <w:rPr>
      <w:rFonts w:ascii="Calibri Light" w:hAnsi="Calibri Light"/>
      <w:b/>
      <w:sz w:val="32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1"/>
    </w:pPr>
    <w:rPr>
      <w:rFonts w:ascii="Calibri Light" w:hAnsi="Calibri Light" w:eastAsia="NSimSun" w:cs="Lucida Sans"/>
      <w:b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3">
    <w:name w:val="Heading 3"/>
    <w:basedOn w:val="Normal"/>
    <w:next w:val="Normal"/>
    <w:uiPriority w:val="9"/>
    <w:qFormat/>
    <w:pPr>
      <w:keepNext w:val="true"/>
      <w:widowControl w:val="false"/>
      <w:jc w:val="center"/>
      <w:outlineLvl w:val="2"/>
    </w:pPr>
    <w:rPr/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Style9">
    <w:name w:val="Знак Знак Знак Знак"/>
    <w:link w:val="15"/>
    <w:qFormat/>
    <w:rPr>
      <w:rFonts w:ascii="Verdana" w:hAnsi="Verdana"/>
      <w:sz w:val="20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Textbody">
    <w:name w:val="Text body"/>
    <w:link w:val="Textbody1"/>
    <w:qFormat/>
    <w:rPr/>
  </w:style>
  <w:style w:type="character" w:styleId="Header1">
    <w:name w:val="Header1"/>
    <w:qFormat/>
    <w:rPr/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/>
  </w:style>
  <w:style w:type="character" w:styleId="Heading21">
    <w:name w:val="Heading 21"/>
    <w:qFormat/>
    <w:rPr>
      <w:rFonts w:ascii="Calibri Light" w:hAnsi="Calibri Light"/>
      <w:b/>
      <w:i/>
    </w:rPr>
  </w:style>
  <w:style w:type="character" w:styleId="Style10">
    <w:name w:val="Заголовок"/>
    <w:link w:val="111111111111111"/>
    <w:qFormat/>
    <w:rPr>
      <w:rFonts w:ascii="Liberation Sans" w:hAnsi="Liberation Sans"/>
      <w:sz w:val="28"/>
    </w:rPr>
  </w:style>
  <w:style w:type="character" w:styleId="Style11">
    <w:name w:val="Содержимое врезки"/>
    <w:link w:val="17"/>
    <w:qFormat/>
    <w:rPr/>
  </w:style>
  <w:style w:type="character" w:styleId="1">
    <w:name w:val="Гиперссылка1"/>
    <w:link w:val="114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Style12">
    <w:name w:val="Знак"/>
    <w:link w:val="18"/>
    <w:qFormat/>
    <w:rPr>
      <w:rFonts w:ascii="Verdana" w:hAnsi="Verdana"/>
      <w:sz w:val="20"/>
    </w:rPr>
  </w:style>
  <w:style w:type="character" w:styleId="ConsPlusNormal">
    <w:name w:val="ConsPlusNormal"/>
    <w:link w:val="ConsPlusNormal1"/>
    <w:qFormat/>
    <w:rPr>
      <w:rFonts w:ascii="Calibri" w:hAnsi="Calibri"/>
      <w:color w:val="000000"/>
      <w:spacing w:val="0"/>
      <w:sz w:val="22"/>
    </w:rPr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Footer1">
    <w:name w:val="Footer1"/>
    <w:qFormat/>
    <w:rPr/>
  </w:style>
  <w:style w:type="character" w:styleId="2">
    <w:name w:val="Гиперссылка2"/>
    <w:link w:val="2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ubtitle1">
    <w:name w:val="Subtitle1"/>
    <w:qFormat/>
    <w:rPr>
      <w:rFonts w:ascii="XO Thames" w:hAnsi="XO Thames"/>
      <w:i/>
      <w:color w:val="000000"/>
      <w:spacing w:val="0"/>
      <w:sz w:val="24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Heading11">
    <w:name w:val="Heading 11"/>
    <w:qFormat/>
    <w:rPr>
      <w:rFonts w:ascii="Calibri Light" w:hAnsi="Calibri Light"/>
      <w:b/>
      <w:sz w:val="32"/>
    </w:rPr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11">
    <w:name w:val="Основной шрифт абзаца1"/>
    <w:link w:val="115"/>
    <w:qFormat/>
    <w:rPr>
      <w:rFonts w:ascii="Times New Roman" w:hAnsi="Times New Roman"/>
      <w:color w:val="000000"/>
      <w:spacing w:val="0"/>
      <w:sz w:val="20"/>
    </w:rPr>
  </w:style>
  <w:style w:type="character" w:styleId="12">
    <w:name w:val="Обычный1"/>
    <w:link w:val="116"/>
    <w:qFormat/>
    <w:rPr>
      <w:rFonts w:ascii="Times New Roman" w:hAnsi="Times New Roman"/>
      <w:color w:val="000000"/>
      <w:spacing w:val="0"/>
      <w:sz w:val="28"/>
    </w:rPr>
  </w:style>
  <w:style w:type="character" w:styleId="Style13">
    <w:name w:val="Колонтитул"/>
    <w:link w:val="16"/>
    <w:qFormat/>
    <w:rPr>
      <w:rFonts w:ascii="XO Thames" w:hAnsi="XO Thames"/>
      <w:color w:val="000000"/>
      <w:spacing w:val="0"/>
      <w:sz w:val="20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Style14">
    <w:name w:val="Указатель"/>
    <w:link w:val="111111111111112"/>
    <w:qFormat/>
    <w:rPr/>
  </w:style>
  <w:style w:type="character" w:styleId="List1">
    <w:name w:val="List1"/>
    <w:basedOn w:val="Textbody"/>
    <w:qFormat/>
    <w:rPr/>
  </w:style>
  <w:style w:type="character" w:styleId="Title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Caption1">
    <w:name w:val="Caption1"/>
    <w:qFormat/>
    <w:rPr>
      <w:i/>
      <w:sz w:val="24"/>
    </w:rPr>
  </w:style>
  <w:style w:type="character" w:styleId="21">
    <w:name w:val="Основной шрифт абзаца2"/>
    <w:link w:val="212"/>
    <w:qFormat/>
    <w:rPr>
      <w:rFonts w:ascii="Times New Roman" w:hAnsi="Times New Roman"/>
      <w:color w:val="000000"/>
      <w:spacing w:val="0"/>
      <w:sz w:val="20"/>
    </w:rPr>
  </w:style>
  <w:style w:type="paragraph" w:styleId="13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 w:val="false"/>
      <w:jc w:val="both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4">
    <w:name w:val="Указатель1"/>
    <w:basedOn w:val="Normal"/>
    <w:qFormat/>
    <w:pPr>
      <w:suppressLineNumbers/>
    </w:pPr>
    <w:rPr>
      <w:rFonts w:cs="Lucida Sans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cs="Lucida Sans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2">
    <w:name w:val="Указатель111"/>
    <w:basedOn w:val="Normal"/>
    <w:qFormat/>
    <w:pPr>
      <w:suppressLineNumbers/>
    </w:pPr>
    <w:rPr>
      <w:rFonts w:cs="Lucida Sans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ucida Sans"/>
    </w:rPr>
  </w:style>
  <w:style w:type="paragraph" w:styleId="111111">
    <w:name w:val="Заголовок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2">
    <w:name w:val="Указатель11111"/>
    <w:basedOn w:val="Normal"/>
    <w:qFormat/>
    <w:pPr>
      <w:suppressLineNumbers/>
    </w:pPr>
    <w:rPr>
      <w:rFonts w:cs="Lucida Sans"/>
    </w:rPr>
  </w:style>
  <w:style w:type="paragraph" w:styleId="1111111">
    <w:name w:val="Заголовок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11111111">
    <w:name w:val="Заголовок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2">
    <w:name w:val="Указатель1111111"/>
    <w:basedOn w:val="Normal"/>
    <w:qFormat/>
    <w:pPr>
      <w:suppressLineNumbers/>
    </w:pPr>
    <w:rPr>
      <w:rFonts w:cs="Lucida Sans"/>
    </w:rPr>
  </w:style>
  <w:style w:type="paragraph" w:styleId="111111111">
    <w:name w:val="Заголовок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2">
    <w:name w:val="Указатель11111111"/>
    <w:basedOn w:val="Normal"/>
    <w:qFormat/>
    <w:pPr>
      <w:suppressLineNumbers/>
    </w:pPr>
    <w:rPr>
      <w:rFonts w:cs="Lucida Sans"/>
    </w:rPr>
  </w:style>
  <w:style w:type="paragraph" w:styleId="1111111111">
    <w:name w:val="Заголовок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2">
    <w:name w:val="Указатель111111111"/>
    <w:basedOn w:val="Normal"/>
    <w:qFormat/>
    <w:pPr>
      <w:suppressLineNumbers/>
    </w:pPr>
    <w:rPr>
      <w:rFonts w:cs="Lucida Sans"/>
    </w:rPr>
  </w:style>
  <w:style w:type="paragraph" w:styleId="11111111111">
    <w:name w:val="Заголовок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1111111112">
    <w:name w:val="Указатель1111111111"/>
    <w:basedOn w:val="Normal"/>
    <w:qFormat/>
    <w:pPr>
      <w:suppressLineNumbers/>
    </w:pPr>
    <w:rPr>
      <w:rFonts w:cs="Arial"/>
    </w:rPr>
  </w:style>
  <w:style w:type="paragraph" w:styleId="111111111111">
    <w:name w:val="Заголовок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2">
    <w:name w:val="Указатель11111111111"/>
    <w:basedOn w:val="Normal"/>
    <w:qFormat/>
    <w:pPr>
      <w:suppressLineNumbers/>
    </w:pPr>
    <w:rPr>
      <w:rFonts w:cs="Lucida Sans"/>
    </w:rPr>
  </w:style>
  <w:style w:type="paragraph" w:styleId="1111111111111">
    <w:name w:val="Заголовок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2">
    <w:name w:val="Указатель111111111111"/>
    <w:basedOn w:val="Normal"/>
    <w:qFormat/>
    <w:pPr>
      <w:suppressLineNumbers/>
    </w:pPr>
    <w:rPr>
      <w:rFonts w:cs="Lucida Sans"/>
    </w:rPr>
  </w:style>
  <w:style w:type="paragraph" w:styleId="11111111111111">
    <w:name w:val="Заголовок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2">
    <w:name w:val="Указатель1111111111111"/>
    <w:basedOn w:val="Normal"/>
    <w:qFormat/>
    <w:pPr>
      <w:suppressLineNumbers/>
    </w:pPr>
    <w:rPr>
      <w:rFonts w:cs="Lucida Sans"/>
    </w:rPr>
  </w:style>
  <w:style w:type="paragraph" w:styleId="111111111111111">
    <w:name w:val="Заголовок11111111111111"/>
    <w:basedOn w:val="Normal"/>
    <w:next w:val="BodyText"/>
    <w:link w:val="Style10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2">
    <w:name w:val="Указатель11111111111111"/>
    <w:basedOn w:val="Normal"/>
    <w:link w:val="Style14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1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5">
    <w:name w:val="Знак Знак Знак Знак1"/>
    <w:basedOn w:val="Normal"/>
    <w:link w:val="Style9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Contents91">
    <w:name w:val="Contents 91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extbody1">
    <w:name w:val="Text body1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6">
    <w:name w:val="Колонтитул1"/>
    <w:link w:val="Style13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2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6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9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3">
    <w:name w:val="Колонтитул11"/>
    <w:basedOn w:val="Normal"/>
    <w:qFormat/>
    <w:pPr/>
    <w:rPr/>
  </w:style>
  <w:style w:type="paragraph" w:styleId="121">
    <w:name w:val="Колонтитул12"/>
    <w:basedOn w:val="Normal"/>
    <w:qFormat/>
    <w:pPr/>
    <w:rPr/>
  </w:style>
  <w:style w:type="paragraph" w:styleId="131">
    <w:name w:val="Колонтитул13"/>
    <w:basedOn w:val="Normal"/>
    <w:qFormat/>
    <w:pPr/>
    <w:rPr/>
  </w:style>
  <w:style w:type="paragraph" w:styleId="141">
    <w:name w:val="Колонтитул14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">
    <w:name w:val="Contents 21"/>
    <w:link w:val="Content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7">
    <w:name w:val="Содержимое врезки1"/>
    <w:basedOn w:val="Normal"/>
    <w:link w:val="Style11"/>
    <w:qFormat/>
    <w:pPr/>
    <w:rPr/>
  </w:style>
  <w:style w:type="paragraph" w:styleId="114">
    <w:name w:val="Гиперссылка11"/>
    <w:link w:val="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BalloonText1">
    <w:name w:val="Balloon Text1"/>
    <w:basedOn w:val="Normal"/>
    <w:link w:val="BalloonText"/>
    <w:qFormat/>
    <w:pPr/>
    <w:rPr>
      <w:rFonts w:ascii="Tahoma" w:hAnsi="Tahoma"/>
      <w:sz w:val="16"/>
    </w:rPr>
  </w:style>
  <w:style w:type="paragraph" w:styleId="18">
    <w:name w:val="Знак1"/>
    <w:basedOn w:val="Normal"/>
    <w:link w:val="Style12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ConsPlusNormal1">
    <w:name w:val="ConsPlusNormal1"/>
    <w:link w:val="ConsPlusNormal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1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11">
    <w:name w:val="Гиперссылка21"/>
    <w:link w:val="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41">
    <w:name w:val="Contents 41"/>
    <w:link w:val="Contents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5">
    <w:name w:val="Основной шрифт абзаца11"/>
    <w:link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6">
    <w:name w:val="Обычный11"/>
    <w:link w:val="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">
    <w:name w:val="Contents 81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1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1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1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2">
    <w:name w:val="Основной шрифт абзаца21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table" w:styleId="Style_62">
    <w:name w:val="Table Grid"/>
    <w:basedOn w:val="Style_3"/>
    <w:rPr>
      <w:sz w:val="22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Application>LibreOffice/24.2.0.3$Windows_X86_64 LibreOffice_project/da48488a73ddd66ea24cf16bbc4f7b9c08e9bea1</Application>
  <AppVersion>15.0000</AppVersion>
  <Pages>4</Pages>
  <Words>1113</Words>
  <Characters>9164</Characters>
  <CharactersWithSpaces>10261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2024-02-27T11:56:18Z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