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26" y="0"/>
                <wp:lineTo x="-26" y="20864"/>
                <wp:lineTo x="20942" y="20864"/>
                <wp:lineTo x="20942" y="0"/>
                <wp:lineTo x="-26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left="0" w:righ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1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2" w:right="0" w:hanging="142"/>
              <w:jc w:val="left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2"/>
        <w:tblW w:w="9633" w:type="dxa"/>
        <w:jc w:val="left"/>
        <w:tblInd w:w="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3"/>
      </w:tblGrid>
      <w:tr>
        <w:trPr/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 w:right="0" w:hanging="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О внесении изменени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я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 xml:space="preserve"> в приложение к постановлению Правительства Камчатского края от 30.10.2023 № 541-П «Об утверждении Стратегии социально-экономического развития Камчатского края до 2035 года» </w:t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приложение к постановлению Правительства Камчатского края от 30.10.2023 № 541-П «Об утверждении Стратегии социально-экономического развития Камчатского края до 2035 года» изменени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согласно приложению к настоящему постановлению.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1"/>
        <w:tblW w:w="9532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8"/>
        <w:gridCol w:w="3544"/>
        <w:gridCol w:w="2410"/>
      </w:tblGrid>
      <w:tr>
        <w:trPr>
          <w:trHeight w:val="2220" w:hRule="atLeast"/>
        </w:trPr>
        <w:tc>
          <w:tcPr>
            <w:tcW w:w="357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 w:right="27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Председатель Правительства Камчатского края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 w:right="27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4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right="0" w:hanging="3"/>
              <w:jc w:val="left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[горизонтальный штамп подписи 1]</w:t>
            </w:r>
            <w:bookmarkEnd w:id="1"/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2" w:right="0" w:hanging="14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135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Е.А. Чекин </w:t>
            </w:r>
          </w:p>
        </w:tc>
      </w:tr>
    </w:tbl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Style_2"/>
        <w:tblW w:w="96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480"/>
        <w:gridCol w:w="481"/>
        <w:gridCol w:w="3661"/>
        <w:gridCol w:w="480"/>
        <w:gridCol w:w="1871"/>
        <w:gridCol w:w="486"/>
        <w:gridCol w:w="1698"/>
      </w:tblGrid>
      <w:tr>
        <w:trPr/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right="0" w:hanging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Приложение </w:t>
            </w:r>
            <w:bookmarkStart w:id="2" w:name="_GoBack"/>
            <w:bookmarkEnd w:id="2"/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к постановлению</w:t>
            </w:r>
          </w:p>
        </w:tc>
      </w:tr>
      <w:tr>
        <w:trPr/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right="0" w:hanging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Правительства Камчатского края</w:t>
            </w:r>
          </w:p>
        </w:tc>
      </w:tr>
      <w:tr>
        <w:trPr/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pacing w:val="0"/>
                <w:kern w:val="0"/>
                <w:sz w:val="16"/>
                <w:szCs w:val="20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№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right="0" w:hanging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pacing w:val="0"/>
                <w:kern w:val="0"/>
                <w:sz w:val="16"/>
                <w:szCs w:val="20"/>
              </w:rPr>
              <w:t>EGNUMSTAMP]</w:t>
            </w:r>
          </w:p>
        </w:tc>
      </w:tr>
    </w:tbl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</w:t>
      </w:r>
      <w:r>
        <w:rPr>
          <w:rFonts w:ascii="Times New Roman" w:hAnsi="Times New Roman"/>
          <w:sz w:val="28"/>
        </w:rPr>
        <w:t>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приложение к постановлению Правительства Камчатского края от 30.10.2023 № 541-П «Об утверждении Стратегии социально-экономического развития Камчатского края до 2035 года»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 Раздел 5 дополнить частями 221(1)–221(14) следующего содержания: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«221(1). Информация о прогнозной кадровой потребности и источникам ее закрытия в профессионально-квалификационном разрезе.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обеспечения устойчивого роста экономики Камчатского края необходима разработка механизмов эффективного формирования рынка труда, которые обеспечат достижение параметров, заложенных в программах социально-экономического развития региона.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Построение прогноза кадровой потребности экономики региона в разрезе профессий является на сегодняшний день актуальной задачей. Практическая польза от ее решения заключается в возможности заблаговременной оценки профессионально-квалификационной структуры рынка труда и степени востребованности тех или иных профессий. Данная информация является необходимой в процессе профориентации населения, может использоваться школьниками старших классов при выборе профессионального пути, а также органами управления образованием при подготовке перспективных востребованных кадров для экономики региона.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Регламент формирования Прогноза потребности рынка труда Камчатского края в специалистах различных направлений утвержден распоряжением</w:t>
      </w:r>
      <w:hyperlink r:id="rId3">
        <w:r>
          <w:rPr>
            <w:rFonts w:ascii="Times New Roman" w:hAnsi="Times New Roman"/>
            <w:sz w:val="28"/>
          </w:rPr>
          <w:t xml:space="preserve"> </w:t>
        </w:r>
      </w:hyperlink>
      <w:r>
        <w:rPr>
          <w:rFonts w:ascii="Times New Roman" w:hAnsi="Times New Roman"/>
          <w:sz w:val="28"/>
        </w:rPr>
        <w:t>Правительства Камчатского края от 30.07.2013 № 352-РП «Об утверждении Регламента формирования Прогноза потребности рынка труда Камчатского края в специалистах различных направлений».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Определение потребностей отраслей экономики Камчатского края в профессиональных кадрах осуществляется с применением методов экономико-математического моделирования, учитывающих взаимодействие и взаимозависимость развития экономики и рынка труда, дополненных экспертными оценками.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221(2). Потребность в профессиональных кадрах состоит из: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численности работников, занятых в отраслях экономики, необходимой для обеспечения прогнозируемых объемов производства валового регионального продукта и добавленной стоимости с учетом планируемого изменения производительности труда;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численности работников, необходимой для выполнения планируемых производственных показателей (для крупнейших работодателей).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221(3). Состав данных, используемых для определения потребности отраслей экономики и различных сфер жизни общества Камчатского края в профессиональных кадрах, включает: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статистические данные о социально-экономическом положении Камчатского края за ретроспективный период (5 лет) по показателям экономики, демографии, рынка труда;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сведения федеральных статистических наблюдений о профессионально-квалификационной структуре рабочих мест в Камчатском крае по видам экономической деятельности и профессиональным группам;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прогноз социально-экономического развития Камчатского края на среднесрочный и долгосрочный периоды;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стратегические документы, определяющие приоритетные направления развития Камчатского края в среднесрочном и долгосрочном периодах;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государственные программы Российской Федерации и государственные программы Камчатского края;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сведения о реализуемых и планируемых к реализации инвестиционных проектах;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демографический прогноз;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сведения о потребности в кадрах, полученные от работодателей.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221(4). Экономическими ориентирами при определении потребности отраслей экономики и различных сфер жизни общества Камчатского края в профессиональных кадрах являются: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объем валового регионального продукта и добавленной стоимости;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объем промышленного производства;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объем продукции сельского хозяйства;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объем розничного товарооборота;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объем платных услуг населению;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объем и направления инвестиций;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 изменение производительности труда по видам экономической деятельности;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 технологический уровень и капиталоемкость создаваемых (модернизируемых) производств в сравнении с текущими значениями;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количество создаваемых (модернизируемых) рабочих мест;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 развитие инфраструктуры (дополнительный стимул экономического роста в смежных отраслях).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221(5). Демографическими ориентирами при определении потребности отраслей экономики и различных сфер жизни общества Камчатского края в профессиональных кадрах являются: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уровень смертности;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уровень рождаемости;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миграционные потоки.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221(6). Ориентирами рынка труда при определении потребности отраслей экономики и различных сфер жизни общества Камчатского края в профессиональных кадрах являются: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уровень безработицы;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уровень занятости;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структура занятости населения с выделением наиболее ресурсоемких и перспективных видов экономической деятельности;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динамика численности работников по видам экономической деятельности и профессионально-квалификационному составу;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численность населения трудоспособного возраста и рабочей силы с учетом демографических и миграционных процессов;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численность и профессионально-квалификационный состав привлекаемых работодателями иностранных работников.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221(7). Целевое обучение является одним из эффективных механизмов кадрового обеспечения приоритетных отраслей экономики и социальной сферы квалифицированными кадрами.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Применение механизма целевого обучения способствует решению кадровой проблемы на долгосрочную перспективу в различных отраслях экономики, медицины и образования, устранению дефицита специалистов, проведению перспективной молодежной политики, расширению системы социальных лифтов, способствует смягчению демографических проблем (предотвращение оттока молодых людей за пределы региона).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221(8). В Камчатском крае в 2023 году целевое обучение проходили 450 граждан, из них 53 человека – по договорам с Министерством труда и развития кадрового потенциала Камчатского края, 268 – по линии здравоохранения, 1 человек – по целевому договору с Министерством сельского хозяйства, пищевой и перерабатывающей промышленности Камчатского края, 41 человек – по договорам с органами местного самоуправления, 87 человек обучаются по договорам с иными организациями, проекту «Профессионалитет».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Среди основных направлений целевой подготовки: медицинские и педагогические специальности, пилоты, строители, социальные работники, ветеринары, инженеры в области тепло и электроэнергетики, информационной безопасности, специалисты в сферах культуры, рыболовства, туризма и экологии.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Гражданам, проходящим целевое обучение, предоставляется дополнительная социальная поддержка от региона. Ее формы разнообразны: от дополнительной стипендии на время учебы до оплаты проезда от места обучения к месту проживания и обратно.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благоприятных условий для поступления и трудоустройства может стать серьезным мотивом для молодых людей оставаться в регионе. Если у выпускника будут обязательства по трудоустройству и гарантии конкурентной зарплаты, то будет мотивация получать образование и оставаться в регионе.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221(9). В настоящее время задачей по развитию кадрового потенциала в регионе является максимальное привлечение работодателей к организации целевого обучения (государственные и муниципальные учреждения, унитарные предприятия, хозяйственные общества, в уставном капитале которых присутствует доля Камчатского края, организации, являющиеся резидентами ТОР «Камчатка» и СПВ, а также предприятия сферы рыболовства), что позволит частично закрыть потребность в высококвалифицированных кадрах.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2022 году в рамках федерального проекта «Профессионалитет» создан первый в Российской Федерации образовательно-производственный центр (кластер) по подготовке кадров для горнодобывающей промышленности. В кластер вошли 4 профессиональные образовательные организации, базовой из которых является Камчатский политехнический техникум. Индустриальным партнером выступила Компания GORA Кумроч (АО «Быстринская горная компания»).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2022–2023 годах в созданном кластере обучалось 2</w:t>
      </w:r>
      <w:r>
        <w:rPr>
          <w:rFonts w:ascii="Times New Roman" w:hAnsi="Times New Roman"/>
          <w:b/>
          <w:sz w:val="28"/>
        </w:rPr>
        <w:t> </w:t>
      </w:r>
      <w:r>
        <w:rPr>
          <w:rFonts w:ascii="Times New Roman" w:hAnsi="Times New Roman"/>
          <w:sz w:val="28"/>
        </w:rPr>
        <w:t>307 студентов, планируется, что контингент обучающихся будет ежегодно увеличиваться. В рамках реализации проекта на базе КГПОАУ «Камчатский политехнический техникум» в 2022 году создано 8 зон под виды работ.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проекта со студентами заключаются договора о целевом обучении, лучшим студентам выплачивается именная стипендия, студенты проходят практику у будущего работодателя с выплатой заработной платы.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2023–2025 годах планируется строительство полигона для дорожных и строительных машин, а также здания дополнительных учебных мастерских. Это позволит создать единственную в регионе площадку по подготовке рабочих кадров для приоритетной в Камчатском крае горнодобывающей отрасли.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2023 году открыт Региональный центр опережающей профессиональной подготовки на базе КГАУ ДПО «Камчатский институт развития образования. Направление работы: создание программ, учитывающие запросы предприятий на обучение сотрудников и построение индивидуальных траекторий профессионального роста. Новая структура станет площадкой-агрегатором образовательных ресурсов для повышения престижа рабочих профессий и по подготовке квалифицированных специалистов для ведущих отраслей региона.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221(10). Реализация федерального проекта «Профессионалитет» в средне-профессиональном образовании включает в себя: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проведение демонстрационного экзамена профильного уровня;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обеспечение трудоустройства выпускников образовательных организаций, реализующих программы среднего профессионального образования, занятых по виду деятельности и полученным компетенциям;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обеспечение функционирования Центра опережающей профессиональной подготовки;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проведение регионального этапа чемпионата по профессиональному мастерству «Профессионалы»;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проведение регионального чемпионата профессионального мастерства для людей с инвалидностью и ограниченными возможностями здоровья «Абилимпикс»;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участие в конкурсном отборе на предоставление грантов в форме субсидий из федерального бюджета на оказание государственной поддержки развития образовательно-производственных центров (кластеров) на основе интеграции образовательных организаций, реализующих программы среднего профессионального образования, с иными организациями;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участие в грантовой поддержке Министерства Российской Федерации по развитию Дальнего Востока и Арктики по созданию мастерских за счет средств федерального бюджета;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 создание на базе профессиональных образовательных организаций учебно-производственных комплексов;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согласование общего объема контрольных цифр приема по профессиям, специальностям и (или) укрупненным группам профессий, специальностей для обучения по образовательным программам среднего профессионального образования за счет средств краевого бюджета с Министерством труда и развития кадрового потенциала Камчатского края;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создание предпрофессиональных классов в общеобразовательных организациях.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221(11). По прогнозным данным дополнительная потребность в кадрах в период 2024–2035 годов составит: 2024 год – 5,7 тыс. человек, 2025 год – 5,6 тыс. человек, 2026 год – 5,5 тыс. человек, 2027 год – 5,4 тыс. человек, 2028 год – 5,4 тыс. человек, 2029 год – 5,5 тыс. человек, 2030 год – 5,5 тыс. человек, 2031 год – 5,4 тыс. человек, 2032 год – 5,5 тыс. человек, 2033 год – 5,6 тыс. человек, 2034 год – 5,5 тыс. человек, 2035 год – 5,5 тыс. человек.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Наибольшую потребность в квалифицированных кадрах будут испытывать организации рыбохозяйственного комплекса, строительства, добычи полезных ископаемых, туризма, здравоохранения и социальных услуг, образования.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221(12). Общая дополнительная потребность в кадрах на 2024–2035 годы по уровню профессионального образования распределилась: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высшее образование – 22,3 тыс. человек (33,7 процента от общей потребности в кадрах);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среднее профессиональное образование по программам подготовки специалистов среднего звена и по программам подготовки квалифицированных рабочих – 22,0 тыс. человек (33,3 процента от общей потребности в кадрах);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краткосрочные программы подготовки, переподготовки, повышения квалификации рабочих и служащих – 21,8 тыс. человек (33,0 процента от общей потребности в кадрах).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221(13). Потребность в кадрах определялась по направлениям подготовки (специальности) среднего профессионального образования и высшего образования.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221(14). В прогнозируемый период наиболее востребованные направления подготовки для среднего профессионального образования: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08.02.01 Строительство и эксплуатация зданий и сооружений;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08.01.07 Мастер общестроительных работ;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15.01.18 Машинист холодильных установок;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26.01.08 Моторист (машинист);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26.01.07 Матрос;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43.01.04 Повар судовой;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35.01.21 Оленевод-механизатор;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36.00.00 Ветеринария и зоотехния;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19.02.10 Технология продуктов общественного питания;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43.01.09 Повар, кондитер;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43.00.00 Сервис и туризм;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44.00.00 Образование и педагогические науки;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34.02.01 Сестринское дело;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221(15). Среди направлений подготовки высшего образования: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35.03.09 Промышленное рыболовство;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26.05.05 Судовождение;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15.03.02 Технологические машины и оборудование;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21.05.04 Горное дело;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08.00.00 Техника и технологии строительства;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44.00.00 Образование и педагогические науки;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31.00.00 Клиническая медицина;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09.00.00 Информатика и вычислительная техника.».</w:t>
      </w:r>
    </w:p>
    <w:p>
      <w:pPr>
        <w:pStyle w:val="Normal"/>
        <w:widowControl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/>
      </w:r>
    </w:p>
    <w:sectPr>
      <w:type w:val="nextPage"/>
      <w:pgSz w:w="11906" w:h="16838"/>
      <w:pgMar w:left="1418" w:right="851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3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ohit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0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1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2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3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4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Header">
    <w:name w:val="Header"/>
    <w:qFormat/>
    <w:rPr/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Footer">
    <w:name w:val="Footer"/>
    <w:qFormat/>
    <w:rPr>
      <w:rFonts w:ascii="Times New Roman" w:hAnsi="Times New Roman"/>
      <w:sz w:val="28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">
    <w:name w:val="Heading 5"/>
    <w:qFormat/>
    <w:rPr>
      <w:rFonts w:ascii="XO Thames" w:hAnsi="XO Thames"/>
      <w:b/>
    </w:rPr>
  </w:style>
  <w:style w:type="character" w:styleId="11">
    <w:name w:val="Обычный1"/>
    <w:link w:val="14"/>
    <w:qFormat/>
    <w:rPr/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Style9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12">
    <w:name w:val="Гиперссылка1"/>
    <w:basedOn w:val="13"/>
    <w:link w:val="16"/>
    <w:qFormat/>
    <w:rPr>
      <w:color w:val="0563C1" w:themeColor="hyperlink"/>
      <w:u w:val="single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character" w:styleId="13">
    <w:name w:val="Основной шрифт абзаца1"/>
    <w:link w:val="17"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ohit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ohit Devanagari"/>
    </w:rPr>
  </w:style>
  <w:style w:type="paragraph" w:styleId="21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left="2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left="6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left="10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left="12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15">
    <w:name w:val="Колонтитул"/>
    <w:qFormat/>
    <w:pPr>
      <w:widowControl/>
      <w:suppressAutoHyphens w:val="true"/>
      <w:bidi w:val="0"/>
      <w:spacing w:lineRule="auto" w:line="240" w:before="0" w:after="160"/>
      <w:ind w:left="0" w:right="0" w:hanging="0"/>
      <w:jc w:val="both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6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17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31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left="4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4">
    <w:name w:val="Обычный1"/>
    <w:link w:val="11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suppressAutoHyphens w:val="true"/>
      <w:bidi w:val="0"/>
      <w:spacing w:lineRule="auto" w:line="264" w:before="0" w:after="160"/>
      <w:ind w:left="0" w:right="0" w:firstLine="851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5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PlainText1">
    <w:name w:val="Plain Text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left="16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left="14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left="8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6">
    <w:name w:val="Гиперссылка1"/>
    <w:basedOn w:val="17"/>
    <w:link w:val="12"/>
    <w:qFormat/>
    <w:pPr/>
    <w:rPr>
      <w:color w:val="0563C1" w:themeColor="hyperlink"/>
      <w:u w:val="single"/>
    </w:rPr>
  </w:style>
  <w:style w:type="paragraph" w:styleId="Style18">
    <w:name w:val="Subtitle"/>
    <w:next w:val="Normal"/>
    <w:uiPriority w:val="11"/>
    <w:qFormat/>
    <w:pPr>
      <w:widowControl/>
      <w:suppressAutoHyphens w:val="true"/>
      <w:bidi w:val="0"/>
      <w:spacing w:lineRule="auto" w:line="264" w:before="0" w:after="160"/>
      <w:ind w:left="0" w:right="0" w:hanging="0"/>
      <w:jc w:val="both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9">
    <w:name w:val="Title"/>
    <w:next w:val="Normal"/>
    <w:uiPriority w:val="10"/>
    <w:qFormat/>
    <w:pPr>
      <w:widowControl/>
      <w:suppressAutoHyphens w:val="true"/>
      <w:bidi w:val="0"/>
      <w:spacing w:lineRule="auto" w:line="264" w:before="567" w:after="567"/>
      <w:ind w:left="0" w:right="0" w:hanging="0"/>
      <w:jc w:val="center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17">
    <w:name w:val="Основной шрифт абзаца1"/>
    <w:link w:val="13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table" w:styleId="Style_2">
    <w:name w:val="Table Grid"/>
    <w:basedOn w:val="Style_1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31">
    <w:name w:val="Сетка таблицы1"/>
    <w:basedOn w:val="Style_1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32">
    <w:name w:val="Сетка таблицы2"/>
    <w:basedOn w:val="Style_1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publication.pravo.gov.ru/Document/View/1400202102020003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LibreOffice/7.4.4.2$Linux_X86_64 LibreOffice_project/40$Build-2</Application>
  <AppVersion>15.0000</AppVersion>
  <Pages>7</Pages>
  <Words>1603</Words>
  <Characters>12241</Characters>
  <CharactersWithSpaces>13753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2024-02-06T14:21:42Z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