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Отчет</w:t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об исполнении Плана мероприятий исполнительных органов государственной власти Камчатского края по реализации 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Стратегии социально-экономического развития Дальнего Востока и Байкальского региона на период до 2025 года, </w:t>
      </w: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утвержденной распоряжением Правительства Российской Федерации от 28 декабря 2009 г. № 2094-р</w:t>
      </w:r>
    </w:p>
    <w:p w14:paraId="06000000">
      <w:pPr>
        <w:ind/>
        <w:jc w:val="center"/>
      </w:pPr>
    </w:p>
    <w:p w14:paraId="07000000">
      <w:pPr>
        <w:ind/>
        <w:jc w:val="center"/>
        <w:rPr>
          <w:b w:val="1"/>
        </w:rPr>
      </w:pPr>
    </w:p>
    <w:tbl>
      <w:tblPr>
        <w:tblStyle w:val="Style_3"/>
        <w:tblInd w:type="dxa" w:w="-3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02"/>
        <w:gridCol w:w="3827"/>
        <w:gridCol w:w="1701"/>
        <w:gridCol w:w="2552"/>
        <w:gridCol w:w="7371"/>
      </w:tblGrid>
      <w:tr>
        <w:trPr>
          <w:trHeight w:hRule="atLeast" w:val="41"/>
          <w:tblHeader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08000000">
            <w:pPr>
              <w:spacing w:afterAutospacing="on" w:before="150"/>
              <w:ind/>
              <w:jc w:val="center"/>
              <w:rPr>
                <w:sz w:val="2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09000000">
            <w:pPr>
              <w:spacing w:afterAutospacing="on" w:before="150"/>
              <w:ind/>
              <w:jc w:val="center"/>
              <w:rPr>
                <w:sz w:val="2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0A000000">
            <w:pPr>
              <w:spacing w:afterAutospacing="on" w:before="150"/>
              <w:ind/>
              <w:jc w:val="center"/>
              <w:rPr>
                <w:sz w:val="21"/>
              </w:rPr>
            </w:pPr>
            <w:r>
              <w:rPr>
                <w:b w:val="1"/>
              </w:rPr>
              <w:t>Срок исполнения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0B000000">
            <w:pPr>
              <w:spacing w:afterAutospacing="on" w:before="150"/>
              <w:ind/>
              <w:jc w:val="center"/>
              <w:rPr>
                <w:sz w:val="21"/>
              </w:rPr>
            </w:pPr>
            <w:r>
              <w:rPr>
                <w:b w:val="1"/>
              </w:rPr>
              <w:t>Ответственный исполнитель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C000000">
            <w:pPr>
              <w:spacing w:afterAutospacing="on" w:before="15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Информация об исполнении</w:t>
            </w:r>
          </w:p>
        </w:tc>
      </w:tr>
      <w:tr>
        <w:trPr>
          <w:trHeight w:hRule="atLeast" w:val="41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0D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0E000000">
            <w:pPr>
              <w:spacing w:line="240" w:lineRule="atLeast"/>
              <w:ind w:firstLine="0" w:left="115" w:right="238"/>
              <w:jc w:val="both"/>
            </w:pPr>
            <w:r>
              <w:t>Подготовка предложений в проект перечня приоритетных инвестиционных проектов по реализации Стратегии социально-экономического развития Дальнего Востока и Забайкальского региона на период до 2025 г</w:t>
            </w:r>
            <w:r>
              <w:t>о</w:t>
            </w:r>
            <w:r>
              <w:t>да, разрабатываемый Минрегионом России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0F000000">
            <w:pPr>
              <w:ind w:firstLine="0" w:left="97" w:right="97"/>
              <w:jc w:val="center"/>
            </w:pPr>
            <w:r>
              <w:t xml:space="preserve">Ежегодно </w:t>
            </w:r>
            <w:r>
              <w:t>I</w:t>
            </w:r>
            <w:r>
              <w:t xml:space="preserve"> квартал </w:t>
            </w:r>
          </w:p>
          <w:p w14:paraId="10000000">
            <w:pPr>
              <w:ind w:firstLine="0" w:left="97" w:right="97"/>
              <w:jc w:val="center"/>
              <w:rPr>
                <w:b w:val="1"/>
              </w:rPr>
            </w:pPr>
            <w:r>
              <w:rPr>
                <w:b w:val="1"/>
              </w:rPr>
              <w:t>На исполнении</w:t>
            </w:r>
          </w:p>
          <w:p w14:paraId="11000000">
            <w:pPr>
              <w:ind w:firstLine="0" w:left="97" w:right="97"/>
              <w:jc w:val="center"/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12000000">
            <w:pPr>
              <w:ind w:firstLine="0" w:left="96" w:right="97"/>
              <w:jc w:val="center"/>
            </w:pPr>
            <w:r>
              <w:t>Министерство эконом</w:t>
            </w:r>
            <w:r>
              <w:t>и</w:t>
            </w:r>
            <w:r>
              <w:t>ческого развития Камчатского края, иные исполнительные органы государственной власти Камчатского края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3000000">
            <w:pPr>
              <w:ind w:firstLine="0" w:left="70" w:right="130"/>
              <w:jc w:val="both"/>
            </w:pPr>
            <w:r>
              <w:t>Раздел II «Инвестиционные проекты, планируемые к реализации на территории Дальнего Востока (для включения в государственную программу Российской Федерации «Социально-экономическое развитие Дальневосточного федерального округа», утвержденную постановлением Правительства Российской Федерации от 15 апреля 2014 г. № 308 «Об утверждении государственной программы Российской Федерации «Социально-экономическое развитие Дальневосточного федерального округа»» распоряжения Правительства Российской Федерации от 23.03.2015 № 484-р исключен распоряжением Правительства Российской Федерации от 20.05.2022 № 1254-р.</w:t>
            </w:r>
          </w:p>
        </w:tc>
      </w:tr>
      <w:tr>
        <w:trPr>
          <w:trHeight w:hRule="atLeast" w:val="41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14000000">
            <w:pPr>
              <w:spacing w:line="240" w:lineRule="atLeast"/>
              <w:ind w:firstLine="0" w:left="-57" w:right="-57"/>
              <w:jc w:val="center"/>
            </w:pPr>
            <w:r>
              <w:t>12.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15000000">
            <w:pPr>
              <w:spacing w:line="240" w:lineRule="atLeast"/>
              <w:ind w:firstLine="0" w:left="115" w:right="96"/>
              <w:jc w:val="both"/>
            </w:pPr>
            <w:r>
              <w:t>Реализация мер по стимулированию геологоразведочной деятельности на территории Камчатского края (подготовка информации о ходе реализации в Минприроды России)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16000000">
            <w:pPr>
              <w:keepNext w:val="1"/>
              <w:spacing w:line="240" w:lineRule="atLeast"/>
              <w:ind w:firstLine="0" w:left="-57" w:right="-57"/>
              <w:jc w:val="center"/>
            </w:pPr>
            <w:r>
              <w:t xml:space="preserve">Ежегодно </w:t>
            </w:r>
          </w:p>
          <w:p w14:paraId="17000000">
            <w:pPr>
              <w:keepNext w:val="1"/>
              <w:spacing w:line="240" w:lineRule="atLeast"/>
              <w:ind w:firstLine="0" w:left="-57" w:right="-57"/>
              <w:jc w:val="center"/>
            </w:pPr>
            <w:r>
              <w:t>III</w:t>
            </w:r>
            <w:r>
              <w:t> квартал</w:t>
            </w:r>
          </w:p>
          <w:p w14:paraId="18000000">
            <w:pPr>
              <w:keepNext w:val="1"/>
              <w:spacing w:line="240" w:lineRule="atLeast"/>
              <w:ind w:firstLine="0" w:left="-57" w:right="-57"/>
              <w:jc w:val="center"/>
              <w:rPr>
                <w:b w:val="1"/>
              </w:rPr>
            </w:pPr>
            <w:r>
              <w:rPr>
                <w:b w:val="1"/>
              </w:rPr>
              <w:t>На исполнении</w:t>
            </w:r>
          </w:p>
          <w:p w14:paraId="19000000">
            <w:pPr>
              <w:spacing w:line="240" w:lineRule="atLeast"/>
              <w:ind w:firstLine="0" w:left="97" w:right="97"/>
              <w:jc w:val="center"/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1A000000">
            <w:pPr>
              <w:spacing w:line="240" w:lineRule="atLeast"/>
              <w:ind w:firstLine="0" w:left="96" w:right="97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B000000">
            <w:pPr>
              <w:tabs>
                <w:tab w:leader="none" w:pos="283" w:val="left"/>
              </w:tabs>
              <w:spacing w:line="240" w:lineRule="atLeast"/>
              <w:ind w:firstLine="0" w:left="127" w:right="96"/>
              <w:jc w:val="both"/>
            </w:pPr>
            <w:r>
              <w:t>Информация о реализации мер по стимулированию геологоразведочной деятельности на территории Камчатского края в 2022 году направлена в адрес Минприроды России (исх. от 14.11.2023 № 01-03-16-5166).</w:t>
            </w:r>
          </w:p>
        </w:tc>
      </w:tr>
      <w:tr>
        <w:trPr>
          <w:trHeight w:hRule="atLeast" w:val="41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1C000000">
            <w:pPr>
              <w:spacing w:line="240" w:lineRule="atLeast"/>
              <w:ind w:firstLine="0" w:left="-57" w:right="-57"/>
              <w:jc w:val="center"/>
            </w:pPr>
            <w:r>
              <w:t>18.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1D000000">
            <w:pPr>
              <w:ind w:firstLine="0" w:left="115" w:right="96"/>
              <w:jc w:val="both"/>
            </w:pPr>
            <w:r>
              <w:t>Реализация проектов в области газификации на территории Камчатского края в соответствии с генеральными схемами газоснабжения и газификации субъектов Российской Федерации (подготовка информации о ходе реализации в Минэнерго России)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1E000000">
            <w:pPr>
              <w:spacing w:line="240" w:lineRule="atLeast"/>
              <w:ind w:firstLine="0" w:left="97" w:right="97"/>
              <w:jc w:val="center"/>
            </w:pPr>
            <w:r>
              <w:t xml:space="preserve">Ежегодно </w:t>
            </w:r>
          </w:p>
          <w:p w14:paraId="1F000000">
            <w:pPr>
              <w:keepNext w:val="1"/>
              <w:spacing w:line="240" w:lineRule="atLeast"/>
              <w:ind w:firstLine="0" w:left="-57" w:right="-57"/>
              <w:jc w:val="center"/>
            </w:pPr>
            <w:r>
              <w:t>III</w:t>
            </w:r>
            <w:r>
              <w:t> квартал</w:t>
            </w:r>
          </w:p>
          <w:p w14:paraId="20000000">
            <w:pPr>
              <w:keepNext w:val="1"/>
              <w:spacing w:line="240" w:lineRule="atLeast"/>
              <w:ind w:firstLine="0" w:left="-57" w:right="-57"/>
              <w:jc w:val="center"/>
              <w:rPr>
                <w:b w:val="1"/>
              </w:rPr>
            </w:pPr>
            <w:r>
              <w:rPr>
                <w:b w:val="1"/>
              </w:rPr>
              <w:t>На</w:t>
            </w:r>
          </w:p>
          <w:p w14:paraId="21000000">
            <w:pPr>
              <w:keepNext w:val="1"/>
              <w:spacing w:line="240" w:lineRule="atLeast"/>
              <w:ind w:firstLine="0" w:left="-57" w:right="-57"/>
              <w:jc w:val="center"/>
              <w:rPr>
                <w:b w:val="1"/>
              </w:rPr>
            </w:pPr>
            <w:r>
              <w:rPr>
                <w:b w:val="1"/>
              </w:rPr>
              <w:t xml:space="preserve"> исполнении</w:t>
            </w:r>
          </w:p>
          <w:p w14:paraId="22000000">
            <w:pPr>
              <w:spacing w:line="240" w:lineRule="atLeast"/>
              <w:ind w:firstLine="0" w:left="97" w:right="97"/>
              <w:jc w:val="center"/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23000000">
            <w:pPr>
              <w:spacing w:line="240" w:lineRule="atLeast"/>
              <w:ind w:firstLine="0" w:left="96" w:right="97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4000000">
            <w:pPr>
              <w:tabs>
                <w:tab w:leader="none" w:pos="283" w:val="left"/>
              </w:tabs>
              <w:ind w:firstLine="0" w:left="127"/>
              <w:jc w:val="both"/>
            </w:pPr>
            <w:r>
              <w:t xml:space="preserve">Информация о реализации проектов в области газификации на территории Камчатского края в соответствии с генеральными схемами газоснабжения и газификации субъектов Российской Федерации направлена в адрес </w:t>
            </w:r>
            <w:r>
              <w:t>Министерства энергетики Российской Федерации.</w:t>
            </w:r>
          </w:p>
        </w:tc>
      </w:tr>
      <w:tr>
        <w:trPr>
          <w:trHeight w:hRule="atLeast" w:val="41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25000000">
            <w:pPr>
              <w:spacing w:line="240" w:lineRule="atLeast"/>
              <w:ind w:firstLine="0" w:left="-57" w:right="-57"/>
              <w:jc w:val="center"/>
            </w:pPr>
            <w:r>
              <w:t>29.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26000000">
            <w:pPr>
              <w:spacing w:line="240" w:lineRule="atLeast"/>
              <w:ind w:firstLine="0" w:left="115" w:right="96"/>
              <w:jc w:val="both"/>
            </w:pPr>
            <w:r>
              <w:t>Подготовка предло</w:t>
            </w:r>
            <w:r>
              <w:t>жений в Минтранс России по обеспечению доступности воздушных перевозок пассажиров с Дальнего Востока в европейскую часть страны и в обратном направлении (постановление Правительства Российской Федерации от 29 декабря 2009 г. № 1095 «Об утверждении Правил предоставления субсидий организациям воздушного транспорта в целях обеспечения доступности воздушных перевозок пассажиров с Дальнего Востока в европейскую часть страны и в обратном направлении»).</w:t>
            </w:r>
          </w:p>
          <w:p w14:paraId="27000000">
            <w:pPr>
              <w:spacing w:line="240" w:lineRule="atLeast"/>
              <w:ind w:firstLine="0" w:left="115" w:right="96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Постановление от 29 декабря 2009 г. № 1095 утратило силу.</w:t>
            </w:r>
          </w:p>
          <w:p w14:paraId="28000000">
            <w:pPr>
              <w:spacing w:line="240" w:lineRule="atLeast"/>
              <w:ind w:firstLine="0" w:left="115" w:right="96"/>
              <w:jc w:val="both"/>
              <w:rPr>
                <w:b w:val="1"/>
                <w:i w:val="1"/>
              </w:rPr>
            </w:pPr>
          </w:p>
          <w:p w14:paraId="29000000">
            <w:pPr>
              <w:spacing w:line="240" w:lineRule="atLeast"/>
              <w:ind w:firstLine="0" w:left="115" w:right="96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Действующее Постановление</w:t>
            </w:r>
          </w:p>
          <w:p w14:paraId="2A000000">
            <w:pPr>
              <w:spacing w:line="240" w:lineRule="atLeast"/>
              <w:ind w:firstLine="0" w:left="115" w:right="96"/>
              <w:jc w:val="both"/>
              <w:rPr>
                <w:b w:val="1"/>
                <w:i w:val="1"/>
                <w:sz w:val="28"/>
              </w:rPr>
            </w:pPr>
          </w:p>
          <w:p w14:paraId="2B000000">
            <w:pPr>
              <w:spacing w:line="240" w:lineRule="atLeast"/>
              <w:ind w:firstLine="0" w:left="115" w:right="96"/>
              <w:jc w:val="both"/>
            </w:pPr>
            <w:r>
              <w:t>Постановление Правительства Российской Федерации от 02.03.2018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2C000000">
            <w:pPr>
              <w:spacing w:line="240" w:lineRule="atLeast"/>
              <w:ind w:firstLine="0" w:left="-57" w:right="-57"/>
              <w:jc w:val="center"/>
            </w:pPr>
            <w:r>
              <w:t>Ежегодно</w:t>
            </w:r>
          </w:p>
          <w:p w14:paraId="2D000000">
            <w:pPr>
              <w:spacing w:line="240" w:lineRule="atLeast"/>
              <w:ind w:firstLine="0" w:left="97" w:right="97"/>
              <w:jc w:val="center"/>
            </w:pPr>
            <w:r>
              <w:t>(</w:t>
            </w:r>
            <w:r>
              <w:t>III</w:t>
            </w:r>
            <w:r>
              <w:t> квартал)</w:t>
            </w:r>
          </w:p>
          <w:p w14:paraId="2E000000">
            <w:pPr>
              <w:spacing w:line="240" w:lineRule="atLeast"/>
              <w:ind w:firstLine="0" w:left="97" w:right="97"/>
              <w:jc w:val="center"/>
              <w:rPr>
                <w:b w:val="1"/>
              </w:rPr>
            </w:pPr>
            <w:r>
              <w:rPr>
                <w:b w:val="1"/>
              </w:rPr>
              <w:t>На исполнении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2F000000">
            <w:pPr>
              <w:spacing w:line="240" w:lineRule="atLeast"/>
              <w:ind w:firstLine="0" w:left="96" w:right="97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0000000">
            <w:pPr>
              <w:ind w:firstLine="0" w:left="12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выделяется в полном объеме.</w:t>
            </w:r>
          </w:p>
          <w:p w14:paraId="31000000">
            <w:pPr>
              <w:tabs>
                <w:tab w:leader="none" w:pos="283" w:val="left"/>
              </w:tabs>
              <w:ind w:firstLine="0" w:left="127"/>
              <w:jc w:val="both"/>
            </w:pPr>
          </w:p>
          <w:p w14:paraId="32000000">
            <w:pPr>
              <w:ind w:firstLine="0" w:left="127"/>
              <w:jc w:val="both"/>
            </w:pPr>
          </w:p>
        </w:tc>
      </w:tr>
      <w:t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33000000">
            <w:pPr>
              <w:spacing w:line="240" w:lineRule="atLeast"/>
              <w:ind w:firstLine="0" w:left="-57" w:right="-57"/>
              <w:jc w:val="center"/>
            </w:pPr>
            <w:r>
              <w:t>46.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34000000">
            <w:pPr>
              <w:spacing w:line="240" w:lineRule="atLeast"/>
              <w:ind w:firstLine="0" w:left="115" w:right="96"/>
              <w:jc w:val="both"/>
            </w:pPr>
            <w:r>
              <w:t>Реализация мер государственной поддержки деятельности образовательных и научных учреждений Камчатского края в области обмена преподавателями, студентами и научными работниками, переподготовки специалистов, проведения совместных научных исследований и информационного обмена с образовательными и научными учреждениями сопредельных стран (подготовка информации о ходе реализации в Минобрнауки России)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35000000">
            <w:pPr>
              <w:spacing w:line="240" w:lineRule="atLeast"/>
              <w:ind w:firstLine="0" w:left="97" w:right="97"/>
              <w:jc w:val="center"/>
            </w:pPr>
            <w:r>
              <w:t xml:space="preserve">Ежегодно </w:t>
            </w:r>
          </w:p>
          <w:p w14:paraId="36000000">
            <w:pPr>
              <w:spacing w:line="240" w:lineRule="atLeast"/>
              <w:ind w:firstLine="0" w:left="97" w:right="97"/>
              <w:jc w:val="center"/>
            </w:pPr>
            <w:r>
              <w:t>III</w:t>
            </w:r>
            <w:r>
              <w:t xml:space="preserve"> квартал</w:t>
            </w:r>
          </w:p>
          <w:p w14:paraId="37000000">
            <w:pPr>
              <w:spacing w:line="240" w:lineRule="atLeast"/>
              <w:ind w:firstLine="0" w:left="97" w:right="97"/>
              <w:jc w:val="center"/>
            </w:pPr>
            <w:r>
              <w:rPr>
                <w:b w:val="1"/>
              </w:rPr>
              <w:t>На исполнении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14:paraId="38000000">
            <w:pPr>
              <w:spacing w:line="240" w:lineRule="atLeast"/>
              <w:ind w:firstLine="0" w:left="96" w:right="97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9000000">
            <w:pPr>
              <w:tabs>
                <w:tab w:leader="none" w:pos="283" w:val="left"/>
                <w:tab w:leader="none" w:pos="9638" w:val="right"/>
              </w:tabs>
              <w:ind w:firstLine="0" w:left="127"/>
              <w:jc w:val="both"/>
            </w:pPr>
            <w:r>
              <w:t>Учредителями всех образовательных организаций высшего образования и научных организаций, расположенных на территории Камчатского края, выступают федеральные министерства и ведомства. В связи с этим, оказание государственной поддержки деятельности образовательны</w:t>
            </w:r>
            <w:r>
              <w:t>м</w:t>
            </w:r>
            <w:r>
              <w:t xml:space="preserve"> организаци</w:t>
            </w:r>
            <w:r>
              <w:t>ям</w:t>
            </w:r>
            <w:r>
              <w:t xml:space="preserve"> высшего образования и научных организаций, расположенных на территории Камчатского края, в области обмена преподавателями, студентами и научными работниками, переподготовки специалистов, проведения совместных научных исследований и информационного обмена с образовательными и научными учреждениями сопредельных стран из средств краевого бюджета не осуществлялось.</w:t>
            </w:r>
          </w:p>
        </w:tc>
      </w:tr>
    </w:tbl>
    <w:p w14:paraId="3A000000">
      <w:pPr>
        <w:ind/>
        <w:jc w:val="center"/>
      </w:pPr>
    </w:p>
    <w:p w14:paraId="3B000000">
      <w:pPr>
        <w:rPr>
          <w:sz w:val="26"/>
        </w:rPr>
      </w:pPr>
    </w:p>
    <w:sectPr>
      <w:headerReference r:id="rId1" w:type="default"/>
      <w:pgSz w:h="11906" w:orient="landscape" w:w="16838"/>
      <w:pgMar w:bottom="720" w:footer="709" w:gutter="0" w:header="709" w:left="851" w:right="720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annotation subject"/>
    <w:basedOn w:val="Style_10"/>
    <w:next w:val="Style_10"/>
    <w:link w:val="Style_9_ch"/>
    <w:rPr>
      <w:b w:val="1"/>
    </w:rPr>
  </w:style>
  <w:style w:styleId="Style_9_ch" w:type="character">
    <w:name w:val="annotation subject"/>
    <w:basedOn w:val="Style_10_ch"/>
    <w:link w:val="Style_9"/>
    <w:rPr>
      <w:b w:val="1"/>
    </w:rPr>
  </w:style>
  <w:style w:styleId="Style_11" w:type="paragraph">
    <w:name w:val=" Знак Знак Знак Знак Знак Знак Знак Знак Знак Знак"/>
    <w:basedOn w:val="Style_4"/>
    <w:link w:val="Style_11_ch"/>
    <w:pPr>
      <w:spacing w:after="160" w:line="240" w:lineRule="exact"/>
      <w:ind/>
    </w:pPr>
    <w:rPr>
      <w:rFonts w:ascii="Verdana" w:hAnsi="Verdana"/>
      <w:sz w:val="20"/>
    </w:rPr>
  </w:style>
  <w:style w:styleId="Style_11_ch" w:type="character">
    <w:name w:val=" Знак Знак Знак Знак Знак Знак Знак Знак Знак Знак"/>
    <w:basedOn w:val="Style_4_ch"/>
    <w:link w:val="Style_11"/>
    <w:rPr>
      <w:rFonts w:ascii="Verdana" w:hAnsi="Verdana"/>
      <w:sz w:val="20"/>
    </w:rPr>
  </w:style>
  <w:style w:styleId="Style_10" w:type="paragraph">
    <w:name w:val="annotation text"/>
    <w:basedOn w:val="Style_4"/>
    <w:link w:val="Style_10_ch"/>
    <w:rPr>
      <w:sz w:val="20"/>
    </w:rPr>
  </w:style>
  <w:style w:styleId="Style_10_ch" w:type="character">
    <w:name w:val="annotation text"/>
    <w:basedOn w:val="Style_4_ch"/>
    <w:link w:val="Style_10"/>
    <w:rPr>
      <w:sz w:val="20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"/>
    <w:basedOn w:val="Style_4"/>
    <w:link w:val="Style_13_ch"/>
    <w:pPr>
      <w:widowControl w:val="0"/>
      <w:ind/>
      <w:jc w:val="both"/>
    </w:pPr>
    <w:rPr>
      <w:sz w:val="28"/>
    </w:rPr>
  </w:style>
  <w:style w:styleId="Style_13_ch" w:type="character">
    <w:name w:val="Body Text"/>
    <w:basedOn w:val="Style_4_ch"/>
    <w:link w:val="Style_13"/>
    <w:rPr>
      <w:sz w:val="28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4" w:type="paragraph">
    <w:name w:val="annotation reference"/>
    <w:link w:val="Style_14_ch"/>
    <w:rPr>
      <w:sz w:val="16"/>
    </w:rPr>
  </w:style>
  <w:style w:styleId="Style_14_ch" w:type="character">
    <w:name w:val="annotation reference"/>
    <w:link w:val="Style_14"/>
    <w:rPr>
      <w:sz w:val="16"/>
    </w:rPr>
  </w:style>
  <w:style w:styleId="Style_1" w:type="paragraph">
    <w:name w:val="page number"/>
    <w:basedOn w:val="Style_15"/>
    <w:link w:val="Style_1_ch"/>
  </w:style>
  <w:style w:styleId="Style_1_ch" w:type="character">
    <w:name w:val="page number"/>
    <w:basedOn w:val="Style_15_ch"/>
    <w:link w:val="Style_1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Основной текст Знак"/>
    <w:link w:val="Style_17_ch"/>
    <w:rPr>
      <w:sz w:val="24"/>
    </w:rPr>
  </w:style>
  <w:style w:styleId="Style_17_ch" w:type="character">
    <w:name w:val="Основной текст Знак"/>
    <w:link w:val="Style_17"/>
    <w:rPr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8" w:type="paragraph">
    <w:name w:val="List Paragraph"/>
    <w:basedOn w:val="Style_4"/>
    <w:link w:val="Style_18_ch"/>
    <w:pPr>
      <w:ind w:firstLine="0" w:left="720"/>
      <w:contextualSpacing w:val="1"/>
    </w:pPr>
    <w:rPr>
      <w:sz w:val="20"/>
    </w:rPr>
  </w:style>
  <w:style w:styleId="Style_18_ch" w:type="character">
    <w:name w:val="List Paragraph"/>
    <w:basedOn w:val="Style_4_ch"/>
    <w:link w:val="Style_18"/>
    <w:rPr>
      <w:sz w:val="20"/>
    </w:rPr>
  </w:style>
  <w:style w:styleId="Style_19" w:type="paragraph">
    <w:name w:val="footnote reference"/>
    <w:link w:val="Style_19_ch"/>
    <w:rPr>
      <w:vertAlign w:val="superscript"/>
    </w:rPr>
  </w:style>
  <w:style w:styleId="Style_19_ch" w:type="character">
    <w:name w:val="footnote reference"/>
    <w:link w:val="Style_19"/>
    <w:rPr>
      <w:vertAlign w:val="superscript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heading 1"/>
    <w:basedOn w:val="Style_4"/>
    <w:next w:val="Style_4"/>
    <w:link w:val="Style_2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2_ch" w:type="character">
    <w:name w:val="heading 1"/>
    <w:basedOn w:val="Style_4_ch"/>
    <w:link w:val="Style_22"/>
    <w:rPr>
      <w:rFonts w:ascii="Cambria" w:hAnsi="Cambria"/>
      <w:b w:val="1"/>
      <w:sz w:val="32"/>
    </w:rPr>
  </w:style>
  <w:style w:styleId="Style_23" w:type="paragraph">
    <w:name w:val=" Знак Знак Знак Знак"/>
    <w:basedOn w:val="Style_4"/>
    <w:link w:val="Style_23_ch"/>
    <w:pPr>
      <w:spacing w:after="160" w:line="240" w:lineRule="exact"/>
      <w:ind/>
    </w:pPr>
    <w:rPr>
      <w:rFonts w:ascii="Verdana" w:hAnsi="Verdana"/>
      <w:sz w:val="20"/>
    </w:rPr>
  </w:style>
  <w:style w:styleId="Style_23_ch" w:type="character">
    <w:name w:val=" Знак Знак Знак Знак"/>
    <w:basedOn w:val="Style_4_ch"/>
    <w:link w:val="Style_23"/>
    <w:rPr>
      <w:rFonts w:ascii="Verdana" w:hAnsi="Verdana"/>
      <w:sz w:val="20"/>
    </w:rPr>
  </w:style>
  <w:style w:styleId="Style_24" w:type="paragraph">
    <w:name w:val="Hyperlink"/>
    <w:link w:val="Style_24_ch"/>
    <w:rPr>
      <w:color w:val="0083C9"/>
      <w:u w:val="none"/>
    </w:rPr>
  </w:style>
  <w:style w:styleId="Style_24_ch" w:type="character">
    <w:name w:val="Hyperlink"/>
    <w:link w:val="Style_24"/>
    <w:rPr>
      <w:color w:val="0083C9"/>
      <w:u w:val="none"/>
    </w:rPr>
  </w:style>
  <w:style w:styleId="Style_25" w:type="paragraph">
    <w:name w:val="Footnote"/>
    <w:basedOn w:val="Style_4"/>
    <w:link w:val="Style_25_ch"/>
    <w:rPr>
      <w:sz w:val="20"/>
    </w:rPr>
  </w:style>
  <w:style w:styleId="Style_25_ch" w:type="character">
    <w:name w:val="Footnote"/>
    <w:basedOn w:val="Style_4_ch"/>
    <w:link w:val="Style_25"/>
    <w:rPr>
      <w:sz w:val="20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alloon Text"/>
    <w:basedOn w:val="Style_4"/>
    <w:link w:val="Style_28_ch"/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styleId="Style_29" w:type="paragraph">
    <w:name w:val="toc 9"/>
    <w:next w:val="Style_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fontstyle35"/>
    <w:link w:val="Style_30_ch"/>
    <w:rPr>
      <w:rFonts w:ascii="Times New Roman" w:hAnsi="Times New Roman"/>
    </w:rPr>
  </w:style>
  <w:style w:styleId="Style_30_ch" w:type="character">
    <w:name w:val="fontstyle35"/>
    <w:link w:val="Style_30"/>
    <w:rPr>
      <w:rFonts w:ascii="Times New Roman" w:hAnsi="Times New Roman"/>
    </w:rPr>
  </w:style>
  <w:style w:styleId="Style_31" w:type="paragraph">
    <w:name w:val="toc 8"/>
    <w:next w:val="Style_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Нормальный (таблица)"/>
    <w:basedOn w:val="Style_4"/>
    <w:next w:val="Style_4"/>
    <w:link w:val="Style_32_ch"/>
    <w:pPr>
      <w:widowControl w:val="0"/>
      <w:ind/>
      <w:jc w:val="both"/>
    </w:pPr>
    <w:rPr>
      <w:rFonts w:ascii="Arial" w:hAnsi="Arial"/>
    </w:rPr>
  </w:style>
  <w:style w:styleId="Style_32_ch" w:type="character">
    <w:name w:val="Нормальный (таблица)"/>
    <w:basedOn w:val="Style_4_ch"/>
    <w:link w:val="Style_32"/>
    <w:rPr>
      <w:rFonts w:ascii="Arial" w:hAnsi="Arial"/>
    </w:rPr>
  </w:style>
  <w:style w:styleId="Style_33" w:type="paragraph">
    <w:name w:val="toc 5"/>
    <w:next w:val="Style_4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ConsPlusTitle"/>
    <w:link w:val="Style_34_ch"/>
    <w:pPr>
      <w:widowControl w:val="0"/>
      <w:ind/>
    </w:pPr>
    <w:rPr>
      <w:rFonts w:ascii="Calibri" w:hAnsi="Calibri"/>
      <w:b w:val="1"/>
      <w:sz w:val="22"/>
    </w:rPr>
  </w:style>
  <w:style w:styleId="Style_34_ch" w:type="character">
    <w:name w:val="ConsPlusTitle"/>
    <w:link w:val="Style_34"/>
    <w:rPr>
      <w:rFonts w:ascii="Calibri" w:hAnsi="Calibri"/>
      <w:b w:val="1"/>
      <w:sz w:val="22"/>
    </w:rPr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 Знак Знак Знак Знак Знак Знак Знак Знак Знак Знак Знак Знак Знак Знак Знак Знак Знак"/>
    <w:basedOn w:val="Style_4"/>
    <w:link w:val="Style_36_ch"/>
    <w:pPr>
      <w:spacing w:after="160" w:line="240" w:lineRule="exact"/>
      <w:ind/>
    </w:pPr>
    <w:rPr>
      <w:rFonts w:ascii="Verdana" w:hAnsi="Verdana"/>
      <w:sz w:val="20"/>
    </w:rPr>
  </w:style>
  <w:style w:styleId="Style_36_ch" w:type="character">
    <w:name w:val=" Знак Знак Знак Знак Знак Знак Знак Знак Знак Знак Знак Знак Знак Знак Знак Знак Знак"/>
    <w:basedOn w:val="Style_4_ch"/>
    <w:link w:val="Style_36"/>
    <w:rPr>
      <w:rFonts w:ascii="Verdana" w:hAnsi="Verdana"/>
      <w:sz w:val="20"/>
    </w:rPr>
  </w:style>
  <w:style w:styleId="Style_37" w:type="paragraph">
    <w:name w:val="Title"/>
    <w:next w:val="Style_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4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2023-12-26T23:36:56Z</dcterms:modified>
</cp:coreProperties>
</file>