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528" w:right="0" w:hanging="0"/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январь-сентябрь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январе-сентябре 2023 года динамику роста показали: промышленное производство, ввод в действие жилых домов, объем платных услуг населению, пассажирооборот и грузооборот автомобильного транспорта.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наблюдается снижение объема строительных работ, оборота  розничной торговли, общественного питания и оптовой торговли.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январь-сентябрь 2023 года составил 406 295,4 млн рублей, вырос на 9,8% к январю-сентябрю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промышленного производства составил 136,5%. Рост в добывающей промышленности составил 35,6% к январю-сентябрю 2022 года, в обрабатывающих производствах – 43,8%. Отрицательная динамика наблюдается ввдеятельности организаций по обеспечению электрической энергией, газом и паром; кондиционированию воздуха (– 2,2%) и в водоснабжении, водоотведении, организации сбора и утилизации отходов, ликвидации загрязнений (– 16,2%).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30 996,3 млн рублей (143,9% к январю-сентябрю 2022 года в действующих ценах). Индекс производства составил 135,6%, что обусловлено ростом добычи металлических руд на 39,0% (золото и серебро).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112 353,1 млн рублей или 118,5% по отношению к январю-сентябрю 2022 года, индекс производства составил 143,8%.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146,3% к январю-сентябрю 2022 года, объем отгруженной продукции составил 105 555,9 млн рублей (118,0% к 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1 081,0 тыс. тонн или 139,1% к январю-сентябрю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Рыбодобывающими предприятиями Камчатского края выловлено 1 541,2 тыс. тонн рыбы и морепродуктов (136,3% к январю-сентябрю 2022 года).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вылова отмечается по: крабам +35,2%, макрурусам +5,1%, минтаю +1,5%, кальмару +16,2%, сардине иваси в 3,4 раза и тихоокеанским лососям в 3,6 раза.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производства пищевых продуктов, ориентированных на региональный рынок (кроме рыбоперерабатывающей промышленности), отмечено увеличение производства мяса и субпродуктов пищевых домашней птицы на 23,1%, мяса и субпродуктов на 1,7%, полуфабрикатов мясных и мясосодержащих в 1,0 раз, масла сливочного в 1,8 раз, сыров и творога на 5,5%.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отмечалось в производстве мяса крупного рогатого скота на 4,5% молока на 2,2%, колбасных изделий на 9,4%, хлебобулочных изделий на 8,8% и кондитерских изделий на 27,5% к январю-сентябрю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рост производства по ремонту и монтажу машин и оборудования (судоремонт) на 25,1% к январю-сентябрю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18 871,1 млн рублей, что составляет 115,2% к январю-сентябрю 2022 года, индекс производства составил 102,9%. Производство электроэнергии увеличилось на 3,9% к январю-сентябрю 2022 года и составило 1 530,0 млн кВт-ч. Возросло потребление электроэнергии предприятиями: ООО РК «Крутогоровское», ООО «Заря», ООО «Тымлатский рыбокомбинат». Производство тепловой энергии, пара и горячей воды увеличилось на 0,9% (произведено 2 414,8 тыс. Гкал.), увеличено потребление теплоэнергии населением.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2 929,3 млн рублей (116,2% к январю-сентябрю 2022 года), индекс производства составил 87,3%, в том числе индекс производства по забору, очистке и распределению воды составил 96,6%, по сбору и обработке сточных вод – 90,9%, по сбору, обработке и утилизации отходов; обработки вторичного сырья – 78,6%.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продукции сельского хозяйства за январь-июнь 2023 года составило 6 714,6 млн рублей (102,7% к январю-июню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январе-сентябре 2023 года в сельскохозяйственных организациях Камчатского края ситуация в сфере животноводства и растениеводства сложилась следующим образом: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мяса составило 6,8 тыс. тонн (101,8% к январю-сентябрю 2022 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яйца увеличилось на 11,2%, яйценоскость кур-несушек составила 101,6% к январю-сентябрю 2022 года;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молока составило 17,1 тыс. тонн (96,2% к январю-сентябрю 2022 года). Средний надой молока на одну корову снизился на 2,2%;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валов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 сбор картофеля составил 31,9 тыс. тонн (95,0% к январю-сентябрю 2022 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валов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 сбор овощей открытого и закрытого грунта составил 7,9 тыс. тонн (102,1% к 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инвестиций в основной капитал за январь-июнь 2023 года составил 35 865,2 млн рублей или 103,0 % к январю-июню 2022 года (в сопоставимой оценке).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январе-сентябре 2023 года составил 23 734,2 млн рублей, что в сопоставимой оценке составляет 77,7% относительно показателя за аналогичный период предыдущего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январь-сентябрь 2023 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 68,8 тыс. кв. метров (140,4% к аналогичному периоду 2022 года), в том числе, построенных населением за счет собственных и привлеченных средств 47,7 тыс. кв. метров (107,9% к аналогичному периоду 2022 года). В отчетном периоде введено в эксплуатацию 2 многоквартирных жилых дома: в Елизовском муниципальном районе общей площадью 8,2 тыс кв.м. и Усть-Камчатском муниципальном районе 0,7 тыс. кв.м.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Федеральной адресной инвестиционной программой на 2023 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 – ФАИП), на строительство и реконструкцию объектов государственной собственности, находящихся на территории Камчатского края, предусмотрено финансирование на 2023 год в объеме 8 598,9 млн рублей в том числе по направлениям: «здравоохранение» – 4 736,0 млн рублей; «морской транспорт» – 652,2; «коммунальное строительство» – 1 054,1 млн рублей; «центральные организации» – 0,089 млн рублей; «воздушный транспорт» – 2 156,6 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2024-2025 годов и прогнозный период 2026-2027 годов» (далее – Инвестиционная программа).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на реализацию инвестиционных мероприятий предусмотрены ассигнования за счет всех источников финансирования в сумме 19 538,8 млн рублей, в том числе за счет средств федерального бюджета – 12 369,8 млн рублей (63,3%), краевого бюджета – 5 765,7 млн рублей (29,5%), Фонда развития территорий —1 363,8 млн рублей (7,0%).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камчатской краевой больницы, техническая готовность объекта на отчетную дату составила 51,3%;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строительство Фельдшерского здравпункта в с. Крутоберегово Усть-Камчатского муниципального района, мощность объекта – 70 кв.м/15 посещений в смену. Нарушены сроки строительства;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подъезда к проектируемому аэровокзалу в г. Елизово от 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 – 30.11.2023.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54,0%;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1-3)». 17.10.2022 заключен государственный контракт № 48 Подрядчик ООО «Устой-М»;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продолжилось строительство комплекса многоквартирных жилых домов в жилом районе Приморский города Вилючинска, строительство поэтапное, в текущем году ведутся работы третьего этапа, мощность объекта – 270 квартир, техническая готовность 3-го этапа – 50,42%, общая готовность – 76,8%;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продолжилось строительство детского сада по ул. Вилюйская, 60 в г. Петропавловске-Камчатском на 160 мест, стоимость работ по контракту 611 949,9 тыс. рублей, срок выполнения работ 30.11.2023. Техническая готовность объекта – 81,7%;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64,8%;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Средней общеобразовательной школы в с. Кавалерское Усть-Большерецкого района на 90 мест, срок строительства – 04.12.2023. По объекту получено положительное заключение государственной экспертизы, выполняются строительные работы, техническая готовность объекта – 91,3%;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камчатского театра кукол г. Петропавловск-Камчатский на 350 мест, заключен контракт с единственным поставщиком ООО «Трест» от 29.04.2022 № 28/22-ГК на завершение строительства, срок выполнения работ 01.12.2024;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70,0%;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завершены строительно-монтажные работы спортивного зала единоборств в городе Елизово. Получено разрешение на ввод объекта в эксплуатацию № RU 41-501102-267-2023 от 20.02.2023;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мероприятие регионального проекта «Чистая вода» по реконструкции водовода от водозабора до п. Палана и внутриплощадочных сетей водовода территории совхоза п. Палана Тигильского муниципального района;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реконструкция котельной № 20 (ул. Деркачева) с передачей нагрузок котельной № 10 с учетом реконструкции тепловых сетей котельных, срок выполнения работ согласно контракту – 30.11.2023;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реконструкция автомобильной дороги Петропавловск-Камчатский - Мильково 40 км - Пиначево с подъездом к п. Раздольный и к базе с/х Заречный на участке км 1 - км 16,4. Работы выполняются в два этапа, заключены государственные контракты с ООО «Устой-М», срок окончания работ – 31.10.2023, техническая готовность соответственно — 19% и 27%;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строительство Автомобильной дороги для резидента ООО «Соколиный центр «Камчатка», срок выполнения работ 30.04.2024, техническая готовность — 87%;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объем финансирования за отчетный период составил 6 372,7 млн рублей (32,6% от предусмотренного объема), в том числе за счет средств федерального бюджета – 3 818,1 млн рублей (30,9%), за счет средств краевого бюджета – 1 920,8 млн рублей (33,3%), Фонда развития территорий — 618,3 млн рублей (45,3%).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01.10.2023 освоение составило 4 518,7 млн рублей (23,1% от предусмотренного объема), в том числе за счет средств федерального бюджета – 2 327,25 млн рублей (18,8%), за счет средств краевого бюджета – 1 567,7 млн рублей (27,2%), Фонда развития территорий — 618,3 млн рублей (45,3%).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потребительского рынка в январе-сентябре 2023 года сложилась следующая ситуация: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розничной торговли составил 67 046,7 млн рублей (98,4% к январю-сентябрю 2022 года) и на 93,9%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общественного питания составил 6 517,4 млн рублей (99,3% к январю-сентябрю 2022 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платных услуг населению края было оказано на сумму 24 710,3 млн рублей (100,9% к 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72,5% общего объема потребляемых услуг. Удельный вес бытовых услуг в общем объеме платных услуг населению составил 6,0%. В январе-сентябре 2023 года населению края было оказано бытовых услуг на 1 486,6 млн рублей, что в сопоставимых ценах на 0,8% больше, чем в январе-сентябре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Пассажирооборот автомобильного транспорта за январь-сентябрь 2023 года составил 210,9 млн пасс.-км (101,4% к январю-сентябрю 2022 года). Число перевезенных пассажиров автомобильным транспортом составило 25,2 млн человек (98,5% к 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Грузооборот автомобильного транспорта за январь-сентябрь 2023 года составил 28,6 млн т-км (рост в 1,5 раза к 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перевезенного груза на морском транспорте составил 428,5 тыс. тонн (109,8% к январю-сентябрю 2022 года). Грузооборот морского транспорта увеличился на 23,4% и составил 892,4 млн т-км. В каботажном плавании грузооборот вырос на 17,4%, в заграничном плавании – в 1,7 раза к январю-сентябрю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Среднегодовой показатель индекса потребительских цен в январе-сентябре 2023 года составил 107,5 %, в том числе: 108,0% на продовольственные товары,</w:t>
        <w:br/>
        <w:t>108,6% на непродовольственные товары и 105,0% на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январь-август 2023 года составила 111 107,2 рубля (109,0% к январю-августу 2022 года). Реальная заработная плата составила 101,3% к январь-августу 2022 года.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01.10.2023 просроченная задолженность по заработной плате составила 6 352,0 тыс. рублей и за месяц увеличилась в 2 раза, 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МУП «Автодор» – 2 451,0 тыс.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МУП «УК Ключи» – 3 901,0 тыс.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безработных по состоянию на 01.10.2023 составила 1,2 тыс. человека. Уровень регистрируемой безработицы – 0,7 % (на 01.10.2022 – 0,9 %). Напряженность на рынке труда составила 0,3 человека на одну заявленную работодателями вакансию (01.10.2022 – 0,3).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01.09.2023 численность населения составила 289,1 тыс. человек, увеличилась по сравнению с 1 января 2023 года на 414 человек за счет миграционного прироста населения (660 человек). Естественная убыль составила 246 человек.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Сальдированный финансовый результат деятельности учтенного круга крупных и средних предприятий за январь-август 2023 года составил</w:t>
        <w:br/>
        <w:t> 15 876,3 млн рублей, что меньше аналогичного периода прошлого года на 61,4%.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Положительный сальдированный результат получен по основным видам деятельности: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«сельское, лесное хозяйство, охота, рыболовство и рыбоводство» –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084,8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рублей; «обрабатывающие производства» – 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111111"/>
          <w:sz w:val="28"/>
        </w:rPr>
        <w:t>207,5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рублей; «транспортировка и хранение» –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1 590,1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рублей; «обеспечение электрической энергией, газом и паром» – 5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032,0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рублей; «водоснабжение, водоотведение, сбор и утилизация отходов, деятельность по ликвидации загрязнений» –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232,8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рублей;  «строительство» –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48,8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руб.; «деятельность по операциям с недвижимым имуществом» –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326,1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млн рублей;  «торговля оптовая и розничная; ремонт автотранспортных средств и мотоциклов» –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1 229,5 млн</w:t>
      </w:r>
      <w:r>
        <w:rPr/>
        <w:t xml:space="preserve"> </w:t>
      </w:r>
      <w:r>
        <w:rPr>
          <w:rFonts w:ascii="Times New Roman" w:hAnsi="Times New Roman"/>
          <w:color w:val="111111"/>
          <w:sz w:val="28"/>
        </w:rPr>
        <w:t>руб.; «деятельность гостиниц и предприятий общественного питания» – 7 403,0 млн руб.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Удельный вес убыточных организаций в общем числе организаций составил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33,5% от их общего числа.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Дебиторская задолженность по состоянию на 01.09.2023 составила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126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915,7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млн рублей, что на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16,9% выше, чем на 01.09.2022. Удельный вес просроченной дебиторской задолженности в общем объеме задолженности на 01.09.2023 составил 6,2%. Суммарный объем просроченной дебиторской задолженности по сравнению с аналогичным периодом прошлого года увеличился на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19,5% и составил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7 858,5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Кредиторская задолженность по состоянию на 01.09.2023 составила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106 020,9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млн рублей, что на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9,5% выше, чем на 01.09.2022. Удельный вес просроченной дебиторской задолженности в общем объеме задолженности на 01.09.2023 составил 1,4%. Суммарный объем просроченной дебиторской задолженности по сравнению с аналогичным периодом прошлого года уменьшился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13,1% и составил 1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514,9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Style_3"/>
        <w:tblW w:w="10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416"/>
        <w:gridCol w:w="1179"/>
        <w:gridCol w:w="1620"/>
        <w:gridCol w:w="1991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измерения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Январь-сентябрь 2023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Январь-сентябрь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январю-сентябрю 2022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Электроэнергия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млн.кВт/ч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2 017,2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1 530,0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103,9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Пар и горячая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тыс.Гкал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3 523,1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2 414,8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100,9</w:t>
            </w:r>
          </w:p>
        </w:tc>
      </w:tr>
      <w:tr>
        <w:trPr>
          <w:trHeight w:val="404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Газ природный и попутный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млн.куб.м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Уголь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 необработанные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плотных куб.м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46,9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12,7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57,9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куб.м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52,0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Бетон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110,3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109,2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95,5</w:t>
            </w:r>
          </w:p>
        </w:tc>
      </w:tr>
      <w:tr>
        <w:trPr>
          <w:trHeight w:val="49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90,6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97,8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Сыры, продукты сырные и творог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105,5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11,9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91,2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Кондитерские изделия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72,5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Воды минеральные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 полулитров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110,9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Пиво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дкл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968,6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701,4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96,1</w:t>
            </w:r>
          </w:p>
        </w:tc>
      </w:tr>
      <w:tr>
        <w:trPr>
          <w:trHeight w:val="772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1 081,0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139,1</w:t>
            </w:r>
          </w:p>
        </w:tc>
      </w:tr>
      <w:tr>
        <w:trPr>
          <w:trHeight w:val="312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Консервы рыбные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туб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86,5</w:t>
            </w:r>
          </w:p>
        </w:tc>
      </w:tr>
    </w:tbl>
    <w:p>
      <w:pPr>
        <w:pStyle w:val="Normal"/>
        <w:spacing w:lineRule="auto" w:line="240" w:before="40" w:after="0"/>
        <w:ind w:left="0" w:right="0"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1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1336"/>
        <w:gridCol w:w="1681"/>
        <w:gridCol w:w="2308"/>
      </w:tblGrid>
      <w:tr>
        <w:trPr>
          <w:tblHeader w:val="true"/>
          <w:trHeight w:val="5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Показатели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Январь-сентябрь 2023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Январь-сентябрь 2023 г. в % к январю-сентябрю 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20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Индекс промышленного производства, 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85,4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136,5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1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30 469,7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30 996,3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143,9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угля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104,9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природного газа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- металлических руд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26 048,4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28 168,7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153,4</w:t>
            </w:r>
          </w:p>
        </w:tc>
      </w:tr>
      <w:tr>
        <w:trPr>
          <w:trHeight w:val="20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прочих полезных ископаемых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1 504,0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736,2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81,0</w:t>
            </w:r>
          </w:p>
        </w:tc>
      </w:tr>
      <w:tr>
        <w:trPr>
          <w:trHeight w:val="158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157 124,4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112 353,1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118,5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пищевых продуктов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147 476,0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105 555,9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118,0</w:t>
            </w:r>
          </w:p>
        </w:tc>
      </w:tr>
      <w:tr>
        <w:trPr>
          <w:trHeight w:val="20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напитков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1 150,4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871,9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105,0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обработка древесины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147,1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деятельность полиграфическая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196,1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142,6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101,7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химических веществ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87,4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резиновых и пластмассовых изделий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195,7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113,2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прочей неметаллической минеральной продукции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1275,1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969,3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209,3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ремонт и монтаж машин и оборудования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5 229,2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3 656,2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125,1</w:t>
            </w:r>
          </w:p>
        </w:tc>
      </w:tr>
      <w:tr>
        <w:trPr>
          <w:trHeight w:val="245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26 993,4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18 871,1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115,2</w:t>
            </w:r>
          </w:p>
        </w:tc>
      </w:tr>
      <w:tr>
        <w:trPr>
          <w:trHeight w:val="75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4 247,0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2 929,3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116,2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90 934,7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35 865,3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67,4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140,4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Валовая продукция сельского хозяйства,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10 960,6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6 714,6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84" w:leader="none"/>
              </w:tabs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производства продукции животноводства: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мясо, тыс. тонн (живой вес)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101,8</w:t>
            </w:r>
          </w:p>
        </w:tc>
      </w:tr>
      <w:tr>
        <w:trPr>
          <w:trHeight w:val="241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молоко, тыс. тонн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96,2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яйца, млн штук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111,2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31 603,1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24 710,3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100,9</w:t>
            </w:r>
          </w:p>
        </w:tc>
      </w:tr>
      <w:tr>
        <w:trPr>
          <w:trHeight w:val="158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него: бытовые услуги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1 885,4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1 486,6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100,8</w:t>
            </w:r>
          </w:p>
        </w:tc>
      </w:tr>
      <w:tr>
        <w:trPr>
          <w:trHeight w:val="295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розничной торговли – всего,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86 784,1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67 046,7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98,4</w:t>
            </w:r>
          </w:p>
        </w:tc>
      </w:tr>
      <w:tr>
        <w:trPr>
          <w:trHeight w:val="20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Оборот общественного питания, млн руб.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8 427,6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6 517,4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99,3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103 529,5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111 107,2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136,2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 по видам деятельности: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78,1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2,6 раза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федерального бюджета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местных бюджетов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бюджета субъекта РФ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57" w:leader="none"/>
              </w:tabs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57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136,2</w:t>
            </w:r>
          </w:p>
        </w:tc>
      </w:tr>
      <w:tr>
        <w:trPr>
          <w:trHeight w:val="245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Грузооборот (данные по автомобильному транспорту), млн т/км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1,5 раза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281,8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210,9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101,4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41 229,7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15 876,3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38,6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26 203,1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9 084,8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3 954,2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-6 123,8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4 576,2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3 207,5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124,2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1 273,1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5 032,0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245,1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752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8,4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232,8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368,9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48,8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44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2 987,1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1 229,5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71,2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Транспортировка и хранение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1 767,8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1 590,1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184,1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7 403,0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160,2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326,1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1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дебиторская – всего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108 948,3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126 915,7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6 896,5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7 858,5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119,5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72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кредиторская – всего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101 551,9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106 020,9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1 927,9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1 514,9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населения, тыс. чел.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289,1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101,2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Естественный прирост (убыль), чел.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-881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-246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Миграционный прирост (убыль), чел.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-2 963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660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Численность занятых в экономике, тыс. чел.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172,3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166,2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92,7</w:t>
            </w:r>
          </w:p>
        </w:tc>
      </w:tr>
      <w:tr>
        <w:trPr>
          <w:trHeight w:val="294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Общая численность безработных, тыс. чел.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47,5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 т. ч. официально зарегистрированных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74,8</w:t>
            </w:r>
          </w:p>
        </w:tc>
      </w:tr>
      <w:tr>
        <w:trPr>
          <w:trHeight w:val="159" w:hRule="atLeast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Примечание: 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</w:t>
      </w:r>
      <w:r>
        <w:rPr>
          <w:rFonts w:ascii="Times New Roman" w:hAnsi="Times New Roman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 – январь-июнь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 – январь-июнь 2023 года к январю-июню 2022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 – январь-август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 – январь-август 2023 года к январю-августу 2022 года.</w:t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49.05pt;margin-top:0.05pt;width:12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t>10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11">
    <w:name w:val="Нижний колонтитул1"/>
    <w:link w:val="110"/>
    <w:qFormat/>
    <w:rPr>
      <w:rFonts w:ascii="Times New Roman" w:hAnsi="Times New Roman"/>
      <w:sz w:val="28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Bxmessengerajax">
    <w:name w:val="bx-messenger-ajax"/>
    <w:basedOn w:val="12"/>
    <w:link w:val="Bxmessengerajax1"/>
    <w:qFormat/>
    <w:rPr/>
  </w:style>
  <w:style w:type="character" w:styleId="Textbody">
    <w:name w:val="Text body"/>
    <w:link w:val="Textbody1"/>
    <w:qFormat/>
    <w:rPr/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Internetlink">
    <w:name w:val="Internet link"/>
    <w:basedOn w:val="12"/>
    <w:link w:val="Internetlink1"/>
    <w:qFormat/>
    <w:rPr>
      <w:color w:val="0563C1" w:themeColor="hyperlink"/>
      <w:u w:val="single"/>
    </w:rPr>
  </w:style>
  <w:style w:type="character" w:styleId="Style9">
    <w:name w:val="Колонтитул"/>
    <w:link w:val="Style20"/>
    <w:qFormat/>
    <w:rPr>
      <w:rFonts w:ascii="XO Thames" w:hAnsi="XO Thames"/>
      <w:sz w:val="20"/>
    </w:rPr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12">
    <w:name w:val="Основной шрифт абзаца1"/>
    <w:link w:val="112"/>
    <w:qFormat/>
    <w:rPr/>
  </w:style>
  <w:style w:type="character" w:styleId="51">
    <w:name w:val="Заголовок 51"/>
    <w:link w:val="511"/>
    <w:qFormat/>
    <w:rPr>
      <w:rFonts w:ascii="XO Thames" w:hAnsi="XO Thames"/>
      <w:b/>
      <w:color w:val="000000"/>
      <w:spacing w:val="0"/>
      <w:sz w:val="22"/>
    </w:rPr>
  </w:style>
  <w:style w:type="character" w:styleId="List">
    <w:name w:val="List"/>
    <w:basedOn w:val="Textbody"/>
    <w:qFormat/>
    <w:rPr/>
  </w:style>
  <w:style w:type="character" w:styleId="Docdata">
    <w:name w:val="docdata"/>
    <w:basedOn w:val="12"/>
    <w:link w:val="Docdata1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8">
    <w:name w:val="Contents 8"/>
    <w:link w:val="Contents81"/>
    <w:qFormat/>
    <w:rPr>
      <w:rFonts w:ascii="XO Thames" w:hAnsi="XO Thames"/>
      <w:sz w:val="28"/>
    </w:rPr>
  </w:style>
  <w:style w:type="character" w:styleId="Style10">
    <w:name w:val="Содержимое врезки"/>
    <w:link w:val="Style21"/>
    <w:qFormat/>
    <w:rPr/>
  </w:style>
  <w:style w:type="character" w:styleId="13">
    <w:name w:val="Подзаголовок1"/>
    <w:link w:val="113"/>
    <w:qFormat/>
    <w:rPr>
      <w:rFonts w:ascii="XO Thames" w:hAnsi="XO Thames"/>
      <w:i/>
      <w:color w:val="000000"/>
      <w:spacing w:val="0"/>
      <w:sz w:val="24"/>
    </w:rPr>
  </w:style>
  <w:style w:type="character" w:styleId="Caption">
    <w:name w:val="caption"/>
    <w:link w:val="Caption1"/>
    <w:qFormat/>
    <w:rPr>
      <w:i/>
      <w:sz w:val="24"/>
    </w:rPr>
  </w:style>
  <w:style w:type="character" w:styleId="Contents3">
    <w:name w:val="Contents 3"/>
    <w:link w:val="Contents31"/>
    <w:qFormat/>
    <w:rPr>
      <w:rFonts w:ascii="XO Thames" w:hAnsi="XO Thames"/>
      <w:sz w:val="28"/>
    </w:rPr>
  </w:style>
  <w:style w:type="character" w:styleId="Annotationtext">
    <w:name w:val="annotation text"/>
    <w:link w:val="Annotationtext1"/>
    <w:qFormat/>
    <w:rPr>
      <w:sz w:val="20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111">
    <w:name w:val="Заголовок 11"/>
    <w:link w:val="114"/>
    <w:qFormat/>
    <w:rPr>
      <w:rFonts w:ascii="XO Thames" w:hAnsi="XO Thames"/>
      <w:b/>
      <w:color w:val="000000"/>
      <w:spacing w:val="0"/>
      <w:sz w:val="32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tents1">
    <w:name w:val="Contents 1"/>
    <w:link w:val="Contents11"/>
    <w:qFormat/>
    <w:rPr>
      <w:rFonts w:ascii="XO Thames" w:hAnsi="XO Thames"/>
      <w:b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tyle11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4">
    <w:name w:val="Указатель1"/>
    <w:link w:val="116"/>
    <w:qFormat/>
    <w:rPr/>
  </w:style>
  <w:style w:type="character" w:styleId="15">
    <w:name w:val="Название объекта1"/>
    <w:link w:val="117"/>
    <w:qFormat/>
    <w:rPr>
      <w:i/>
      <w:sz w:val="24"/>
    </w:rPr>
  </w:style>
  <w:style w:type="character" w:styleId="16">
    <w:name w:val="Знак примечания1"/>
    <w:basedOn w:val="12"/>
    <w:link w:val="118"/>
    <w:qFormat/>
    <w:rPr>
      <w:sz w:val="16"/>
    </w:rPr>
  </w:style>
  <w:style w:type="character" w:styleId="DefaultParagraphFont">
    <w:name w:val="Default Paragraph Font"/>
    <w:link w:val="DefaultParagraphFont1"/>
    <w:qFormat/>
    <w:rPr/>
  </w:style>
  <w:style w:type="character" w:styleId="Contents9">
    <w:name w:val="Contents 9"/>
    <w:link w:val="Contents91"/>
    <w:qFormat/>
    <w:rPr>
      <w:rFonts w:ascii="XO Thames" w:hAnsi="XO Thames"/>
      <w:sz w:val="28"/>
    </w:rPr>
  </w:style>
  <w:style w:type="character" w:styleId="21">
    <w:name w:val="Заголовок 21"/>
    <w:link w:val="211"/>
    <w:qFormat/>
    <w:rPr>
      <w:rFonts w:ascii="XO Thames" w:hAnsi="XO Thames"/>
      <w:b/>
      <w:color w:val="000000"/>
      <w:spacing w:val="0"/>
      <w:sz w:val="28"/>
    </w:rPr>
  </w:style>
  <w:style w:type="character" w:styleId="17">
    <w:name w:val="Верхний колонтитул1"/>
    <w:link w:val="11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2">
    <w:name w:val="Содержимое таблицы"/>
    <w:link w:val="Style23"/>
    <w:qFormat/>
    <w:rPr/>
  </w:style>
  <w:style w:type="character" w:styleId="Contents5">
    <w:name w:val="Contents 5"/>
    <w:link w:val="Contents51"/>
    <w:qFormat/>
    <w:rPr>
      <w:rFonts w:ascii="XO Thames" w:hAnsi="XO Thames"/>
      <w:sz w:val="28"/>
    </w:rPr>
  </w:style>
  <w:style w:type="character" w:styleId="31">
    <w:name w:val="Заголовок 31"/>
    <w:link w:val="311"/>
    <w:qFormat/>
    <w:rPr>
      <w:rFonts w:ascii="XO Thames" w:hAnsi="XO Thames"/>
      <w:b/>
      <w:color w:val="000000"/>
      <w:spacing w:val="0"/>
      <w:sz w:val="26"/>
    </w:rPr>
  </w:style>
  <w:style w:type="character" w:styleId="Indexheading">
    <w:name w:val="index heading"/>
    <w:link w:val="Indexheading1"/>
    <w:qFormat/>
    <w:rPr/>
  </w:style>
  <w:style w:type="character" w:styleId="18">
    <w:name w:val="Список1"/>
    <w:basedOn w:val="Textbody"/>
    <w:link w:val="120"/>
    <w:qFormat/>
    <w:rPr/>
  </w:style>
  <w:style w:type="character" w:styleId="19">
    <w:name w:val="Заголовок1"/>
    <w:link w:val="121"/>
    <w:qFormat/>
    <w:rPr>
      <w:rFonts w:ascii="Open Sans" w:hAnsi="Open San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Title">
    <w:name w:val="Title"/>
    <w:qFormat/>
    <w:rPr>
      <w:rFonts w:ascii="Open Sans" w:hAnsi="Open Sans"/>
      <w:sz w:val="28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er">
    <w:name w:val="Header"/>
    <w:qFormat/>
    <w:rPr/>
  </w:style>
  <w:style w:type="character" w:styleId="Style13">
    <w:name w:val="Заголовок таблицы"/>
    <w:basedOn w:val="Style12"/>
    <w:link w:val="Style27"/>
    <w:qFormat/>
    <w:rPr>
      <w:b/>
    </w:rPr>
  </w:style>
  <w:style w:type="character" w:styleId="ListParagraph">
    <w:name w:val="List Paragraph"/>
    <w:link w:val="ListParagraph1"/>
    <w:qFormat/>
    <w:rPr/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41">
    <w:name w:val="Заголовок 41"/>
    <w:link w:val="411"/>
    <w:qFormat/>
    <w:rPr>
      <w:rFonts w:ascii="XO Thames" w:hAnsi="XO Thames"/>
      <w:b/>
      <w:color w:val="000000"/>
      <w:spacing w:val="0"/>
      <w:sz w:val="24"/>
    </w:rPr>
  </w:style>
  <w:style w:type="character" w:styleId="Style14">
    <w:name w:val="Символ нумерации"/>
    <w:link w:val="Style2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1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10">
    <w:name w:val="Нижний колонтитул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messengerajax1">
    <w:name w:val="bx-messenger-ajax"/>
    <w:basedOn w:val="112"/>
    <w:link w:val="Bxmessengerajax"/>
    <w:qFormat/>
    <w:pPr/>
    <w:rPr/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Style20">
    <w:name w:val="Колонтитул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link w:val="Annotationsubject"/>
    <w:qFormat/>
    <w:pPr/>
    <w:rPr>
      <w:b/>
    </w:rPr>
  </w:style>
  <w:style w:type="paragraph" w:styleId="112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1">
    <w:name w:val="Заголовок 51"/>
    <w:link w:val="5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Docdata1">
    <w:name w:val="docdata"/>
    <w:basedOn w:val="112"/>
    <w:link w:val="Docdata"/>
    <w:qFormat/>
    <w:pPr/>
    <w:rPr/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Содержимое врезки"/>
    <w:basedOn w:val="Normal"/>
    <w:link w:val="Style10"/>
    <w:qFormat/>
    <w:pPr/>
    <w:rPr/>
  </w:style>
  <w:style w:type="paragraph" w:styleId="113">
    <w:name w:val="Подзаголовок1"/>
    <w:link w:val="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text1">
    <w:name w:val="annotation text"/>
    <w:basedOn w:val="Normal"/>
    <w:link w:val="Annotationtext"/>
    <w:qFormat/>
    <w:pPr>
      <w:spacing w:lineRule="auto" w:line="240"/>
    </w:pPr>
    <w:rPr>
      <w:sz w:val="20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14">
    <w:name w:val="Заголовок 11"/>
    <w:link w:val="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Указатель1"/>
    <w:link w:val="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7">
    <w:name w:val="Название объекта1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8">
    <w:name w:val="Знак примечания1"/>
    <w:basedOn w:val="112"/>
    <w:link w:val="16"/>
    <w:qFormat/>
    <w:pPr/>
    <w:rPr>
      <w:sz w:val="16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">
    <w:name w:val="Заголовок 21"/>
    <w:link w:val="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9">
    <w:name w:val="Верхний колонтитул1"/>
    <w:link w:val="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Содержимое таблицы"/>
    <w:basedOn w:val="Normal"/>
    <w:link w:val="Style12"/>
    <w:qFormat/>
    <w:pPr>
      <w:widowControl w:val="false"/>
    </w:pPr>
    <w:rPr/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Заголовок 31"/>
    <w:link w:val="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0">
    <w:name w:val="Список1"/>
    <w:basedOn w:val="Textbody1"/>
    <w:link w:val="18"/>
    <w:qFormat/>
    <w:pPr/>
    <w:rPr/>
  </w:style>
  <w:style w:type="paragraph" w:styleId="121">
    <w:name w:val="Заголовок1"/>
    <w:link w:val="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5">
    <w:name w:val="Title"/>
    <w:next w:val="Style16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Заголовок таблицы"/>
    <w:basedOn w:val="Style23"/>
    <w:link w:val="Style13"/>
    <w:qFormat/>
    <w:pPr>
      <w:jc w:val="center"/>
    </w:pPr>
    <w:rPr>
      <w:b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">
    <w:name w:val="Заголовок 41"/>
    <w:link w:val="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Символ нумерации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7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10</Pages>
  <Words>3036</Words>
  <Characters>19601</Characters>
  <CharactersWithSpaces>22289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2023-11-02T09:28:44Z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