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260" w:before="0" w:line="260" w:lineRule="exact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11000000">
      <w:pPr>
        <w:spacing w:after="0" w:before="0" w:line="260" w:lineRule="exact"/>
        <w:ind w:right="55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09"/>
      </w:tblGrid>
      <w:tr>
        <w:tc>
          <w:tcPr>
            <w:tcW w:type="dxa" w:w="44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приказ </w:t>
            </w:r>
            <w:r>
              <w:rPr>
                <w:rFonts w:ascii="Times New Roman" w:hAnsi="Times New Roman"/>
                <w:sz w:val="28"/>
              </w:rPr>
              <w:t>Министерства экономического развития и торговли</w:t>
            </w:r>
            <w:r>
              <w:rPr>
                <w:rFonts w:ascii="Times New Roman" w:hAnsi="Times New Roman"/>
                <w:sz w:val="28"/>
              </w:rPr>
              <w:t xml:space="preserve"> Камчатского края от 23.05.2014 № 290-П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приказ Министерства э</w:t>
      </w:r>
      <w:r>
        <w:rPr>
          <w:rFonts w:ascii="Times New Roman" w:hAnsi="Times New Roman"/>
          <w:sz w:val="28"/>
        </w:rPr>
        <w:t>кономического развития и торговли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23.05.2014 № 290-П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 следующие изменения:</w:t>
      </w:r>
    </w:p>
    <w:p w14:paraId="1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со статьей 10 Федерального закона от 28.12.2009</w:t>
      </w:r>
      <w:r>
        <w:br/>
      </w:r>
      <w:r>
        <w:rPr>
          <w:rFonts w:ascii="Times New Roman" w:hAnsi="Times New Roman"/>
          <w:sz w:val="28"/>
        </w:rPr>
        <w:t>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Законом Камчатского края от 26.04.2010 № 411 «</w:t>
      </w:r>
      <w:r>
        <w:rPr>
          <w:rFonts w:ascii="Times New Roman" w:hAnsi="Times New Roman"/>
          <w:sz w:val="28"/>
        </w:rPr>
        <w:t>О полномочиях органов государственной власти Камчатского края</w:t>
      </w:r>
      <w:r>
        <w:rPr>
          <w:rFonts w:ascii="Times New Roman" w:hAnsi="Times New Roman"/>
          <w:sz w:val="28"/>
        </w:rPr>
        <w:t xml:space="preserve"> в области государственного </w:t>
      </w:r>
      <w:r>
        <w:rPr>
          <w:rFonts w:ascii="Times New Roman" w:hAnsi="Times New Roman"/>
          <w:sz w:val="28"/>
        </w:rPr>
        <w:t>регулирования торговой деятельности в Камчатском крае и о порядке разработки краевых программ развития торговли», постановлением Губернатора Камчатского края от 09.11.2012 № 207 «</w:t>
      </w:r>
      <w:r>
        <w:rPr>
          <w:rFonts w:ascii="Times New Roman" w:hAnsi="Times New Roman"/>
          <w:sz w:val="28"/>
        </w:rPr>
        <w:t>О структуре исполнительных органов государственной власти Камчатского края»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27.12.2012 № 590-П «Об утверждении Положения о Министерстве экономического развития Камчатского края»</w:t>
      </w:r>
      <w:r>
        <w:rPr>
          <w:rFonts w:ascii="Times New Roman" w:hAnsi="Times New Roman"/>
          <w:sz w:val="28"/>
        </w:rPr>
        <w:t>;</w:t>
      </w:r>
    </w:p>
    <w:p w14:paraId="1B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sz w:val="28"/>
        </w:rPr>
        <w:t>Министерства э</w:t>
      </w:r>
      <w:r>
        <w:rPr>
          <w:rFonts w:ascii="Times New Roman" w:hAnsi="Times New Roman"/>
          <w:sz w:val="28"/>
        </w:rPr>
        <w:t>кономического развития и торговли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23.05.2014 № 290-П </w:t>
      </w:r>
      <w:r>
        <w:rPr>
          <w:rFonts w:ascii="Times New Roman" w:hAnsi="Times New Roman"/>
          <w:sz w:val="28"/>
        </w:rPr>
        <w:t>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</w:t>
      </w:r>
      <w:r>
        <w:rPr>
          <w:rFonts w:ascii="Times New Roman" w:hAnsi="Times New Roman"/>
          <w:sz w:val="28"/>
        </w:rPr>
        <w:t xml:space="preserve"> изложить в редакции согласно приложению к настоящему приказу.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через 10 дней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4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5000000">
      <w:pPr>
        <w:ind w:firstLine="0" w:left="4535"/>
      </w:pPr>
      <w:r>
        <w:br w:type="page"/>
      </w:r>
    </w:p>
    <w:p w14:paraId="26000000">
      <w:pPr>
        <w:spacing w:after="0"/>
        <w:ind w:firstLine="0" w:left="4819" w:right="0"/>
      </w:pPr>
      <w:r>
        <w:rPr>
          <w:rFonts w:ascii="Times New Roman" w:hAnsi="Times New Roman"/>
          <w:sz w:val="28"/>
        </w:rPr>
        <w:t>Приложение к Приказу</w:t>
      </w:r>
    </w:p>
    <w:p w14:paraId="27000000">
      <w:pPr>
        <w:widowControl w:val="0"/>
        <w:spacing w:after="0" w:line="240" w:lineRule="auto"/>
        <w:ind w:firstLine="0" w:left="481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</w:t>
      </w:r>
      <w:r>
        <w:rPr>
          <w:rFonts w:ascii="Times New Roman" w:hAnsi="Times New Roman"/>
          <w:sz w:val="28"/>
        </w:rPr>
        <w:t>ономического</w:t>
      </w:r>
    </w:p>
    <w:p w14:paraId="28000000">
      <w:pPr>
        <w:widowControl w:val="0"/>
        <w:spacing w:after="0" w:line="240" w:lineRule="auto"/>
        <w:ind w:firstLine="0" w:left="481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и торговли Камчатского края</w:t>
      </w:r>
    </w:p>
    <w:p w14:paraId="29000000">
      <w:pPr>
        <w:widowControl w:val="0"/>
        <w:spacing w:after="0" w:line="240" w:lineRule="auto"/>
        <w:ind w:firstLine="0" w:left="4819" w:right="0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от 23.05.2014</w:t>
      </w:r>
      <w:r>
        <w:rPr>
          <w:rFonts w:ascii="Times New Roman" w:hAnsi="Times New Roman"/>
          <w:color w:val="000000"/>
          <w:sz w:val="28"/>
          <w:u w:val="none"/>
        </w:rPr>
        <w:t xml:space="preserve"> № 290-П</w:t>
      </w:r>
    </w:p>
    <w:p w14:paraId="2A000000">
      <w:pPr>
        <w:widowControl w:val="0"/>
        <w:spacing w:after="0" w:line="240" w:lineRule="auto"/>
        <w:ind w:firstLine="4677" w:left="0" w:right="0"/>
        <w:jc w:val="center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 w:firstLine="4535" w:left="0" w:right="15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</w:t>
      </w:r>
    </w:p>
    <w:p w14:paraId="2C000000">
      <w:pPr>
        <w:widowControl w:val="0"/>
        <w:spacing w:after="0" w:line="240" w:lineRule="auto"/>
        <w:ind w:firstLine="0" w:left="4819" w:right="4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 развития Камчатского края</w:t>
      </w:r>
    </w:p>
    <w:p w14:paraId="2D000000">
      <w:pPr>
        <w:widowControl w:val="0"/>
        <w:spacing w:after="0" w:line="240" w:lineRule="auto"/>
        <w:ind w:firstLine="0" w:left="4819" w:right="2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от</w:t>
      </w:r>
      <w:r>
        <w:rPr>
          <w:rFonts w:ascii="Times New Roman" w:hAnsi="Times New Roman"/>
          <w:color w:val="000000"/>
          <w:sz w:val="24"/>
          <w:u w:val="none"/>
        </w:rPr>
        <w:t xml:space="preserve"> [</w:t>
      </w:r>
      <w:r>
        <w:rPr>
          <w:rFonts w:ascii="Times New Roman" w:hAnsi="Times New Roman"/>
          <w:color w:val="000000"/>
          <w:sz w:val="24"/>
          <w:u w:val="none"/>
        </w:rPr>
        <w:t xml:space="preserve">Дата регистрации] </w:t>
      </w:r>
      <w:r>
        <w:rPr>
          <w:rFonts w:ascii="Times New Roman" w:hAnsi="Times New Roman"/>
          <w:color w:val="000000"/>
          <w:sz w:val="28"/>
          <w:u w:val="none"/>
        </w:rPr>
        <w:t>№</w:t>
      </w:r>
      <w:r>
        <w:rPr>
          <w:rFonts w:ascii="Times New Roman" w:hAnsi="Times New Roman"/>
          <w:color w:val="000000"/>
          <w:sz w:val="24"/>
          <w:u w:val="none"/>
        </w:rPr>
        <w:t xml:space="preserve"> [Номер документа]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разработки и утверждения органами местного самоуправления </w:t>
      </w:r>
      <w:r>
        <w:rPr>
          <w:rFonts w:ascii="Times New Roman" w:hAnsi="Times New Roman"/>
          <w:color w:val="000000"/>
          <w:sz w:val="28"/>
        </w:rPr>
        <w:t xml:space="preserve">муниципальных образований в Камчатском крае </w:t>
      </w:r>
      <w:r>
        <w:rPr>
          <w:rFonts w:ascii="Times New Roman" w:hAnsi="Times New Roman"/>
          <w:color w:val="000000"/>
          <w:sz w:val="28"/>
        </w:rPr>
        <w:t xml:space="preserve">схемы размещения 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нестационарных торговых объектов</w:t>
      </w:r>
    </w:p>
    <w:p w14:paraId="34000000">
      <w:pPr>
        <w:spacing w:after="0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" w:name="_GoBack"/>
      <w:bookmarkEnd w:id="3"/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Настоящий Порядок разработки и утверждения органами местного самоуправления </w:t>
      </w:r>
      <w:r>
        <w:rPr>
          <w:rFonts w:ascii="Times New Roman" w:hAnsi="Times New Roman"/>
          <w:color w:val="000000"/>
          <w:sz w:val="28"/>
        </w:rPr>
        <w:t>муниципальных образований в Камчатском крае схемы размещения нестационарных торговых объектов (далее – Порядок) разработан 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 законом от 21.12.2021 № 414-ФЗ «Об общих принципах организации публичной власти в субъектах Российской Федерации»,</w:t>
      </w:r>
      <w:r>
        <w:rPr>
          <w:rFonts w:ascii="Times New Roman" w:hAnsi="Times New Roman"/>
          <w:color w:val="000000"/>
          <w:sz w:val="28"/>
        </w:rPr>
        <w:t xml:space="preserve">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Законом Камчатского края от 26.04.2010 № 411 </w:t>
      </w:r>
      <w:r>
        <w:rPr>
          <w:rFonts w:ascii="Times New Roman" w:hAnsi="Times New Roman"/>
          <w:color w:val="000000"/>
          <w:sz w:val="28"/>
        </w:rPr>
        <w:t>«О полномочиях органов государственной власти Камчатского края</w:t>
      </w:r>
      <w:r>
        <w:rPr>
          <w:rFonts w:ascii="Times New Roman" w:hAnsi="Times New Roman"/>
          <w:color w:val="000000"/>
          <w:sz w:val="28"/>
        </w:rPr>
        <w:t xml:space="preserve"> в области государственного регулирования торговой деятельности в Камчатском крае и о порядке разработки краевых программ развития торговли»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устанавливает Порядок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Для целей настоящего Порядка используются следующие понятия:</w:t>
      </w:r>
    </w:p>
    <w:p w14:paraId="38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14:paraId="39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схема размещения нестационарных торговых объектов (далее – схема) – документ, содержащий информацию о местах размещения нестационарных торговых объектов на территории муниципального образования в Камчатском крае, оформленный в виде таблицы, содержащий информацию: номер по порядку; место размещения (адресный ориентир) нестационарного торгового объекта; площадь земельного участка; площадь нестационарного торгового объекта; вид собственности земельного участка, здания, сооружения, где расположен нестационарный торговый объект; </w:t>
      </w:r>
      <w:r>
        <w:rPr>
          <w:rFonts w:ascii="Times New Roman" w:hAnsi="Times New Roman"/>
          <w:color w:val="000000"/>
          <w:sz w:val="28"/>
        </w:rPr>
        <w:t xml:space="preserve">специализация объекта: универсальный (с указанием категории реализуемого товара – продовольственные товары, непродовольственные товары, смешанный ассортимент товаров), специализированный (с указанием класса реализуемого товара в соответствии с постановлением Правительства Камчатского края от 09.01.2019 № 1-П (ред. от 28.11.2022 № 618-П), </w:t>
      </w:r>
      <w:r>
        <w:rPr>
          <w:rFonts w:ascii="Times New Roman" w:hAnsi="Times New Roman"/>
          <w:color w:val="000000"/>
          <w:sz w:val="28"/>
        </w:rPr>
        <w:t>общественное питание (с указанием</w:t>
      </w:r>
      <w:r>
        <w:rPr>
          <w:rFonts w:ascii="Times New Roman" w:hAnsi="Times New Roman"/>
          <w:color w:val="000000"/>
          <w:sz w:val="28"/>
        </w:rPr>
        <w:t xml:space="preserve"> группы реализуемых </w:t>
      </w:r>
      <w:r>
        <w:rPr>
          <w:rFonts w:ascii="Times New Roman" w:hAnsi="Times New Roman"/>
          <w:color w:val="000000"/>
          <w:sz w:val="28"/>
        </w:rPr>
        <w:t>напитков),</w:t>
      </w:r>
      <w:r>
        <w:rPr>
          <w:rFonts w:ascii="Times New Roman" w:hAnsi="Times New Roman"/>
          <w:color w:val="000000"/>
          <w:sz w:val="28"/>
        </w:rPr>
        <w:t xml:space="preserve"> бытовые услуги (с указанием вида оказываемых бытовых услуг);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тип нестационарного торгового объекта; период размещения нестационарного торгового объекта (круглогодичное, сезонное). 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органом местного самоуправления по согласованию </w:t>
      </w:r>
      <w:r>
        <w:rPr>
          <w:rFonts w:ascii="Times New Roman" w:hAnsi="Times New Roman"/>
          <w:color w:val="000000"/>
          <w:sz w:val="28"/>
        </w:rPr>
        <w:t>с федеральным исполнительным органом</w:t>
      </w:r>
      <w:r>
        <w:rPr>
          <w:rFonts w:ascii="Times New Roman" w:hAnsi="Times New Roman"/>
          <w:color w:val="000000"/>
          <w:sz w:val="28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исполнительным органом Камчатского края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осуществляющими полномочия собственника имущества, в порядке, установленном Правительством Российской Федерации.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 xml:space="preserve">Схема разрабатывается и утверждается органом местного самоуправления городского округа, городского или сельского поселения, </w:t>
      </w:r>
      <w:r>
        <w:rPr>
          <w:rFonts w:ascii="Times New Roman" w:hAnsi="Times New Roman"/>
          <w:color w:val="000000"/>
          <w:sz w:val="28"/>
        </w:rPr>
        <w:t>муниципального округа,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(в части разработки и утверждения схемы на межселенных территориях),</w:t>
      </w:r>
      <w:r>
        <w:rPr>
          <w:rFonts w:ascii="Times New Roman" w:hAnsi="Times New Roman"/>
          <w:color w:val="000000"/>
          <w:sz w:val="28"/>
        </w:rPr>
        <w:t xml:space="preserve"> определенным в соответствии с уставом муниципального образования (дал</w:t>
      </w:r>
      <w:r>
        <w:rPr>
          <w:rFonts w:ascii="Times New Roman" w:hAnsi="Times New Roman"/>
          <w:color w:val="000000"/>
          <w:sz w:val="28"/>
        </w:rPr>
        <w:t xml:space="preserve">ее – уполномоченный орган), </w:t>
      </w:r>
      <w:r>
        <w:rPr>
          <w:rFonts w:ascii="Times New Roman" w:hAnsi="Times New Roman"/>
          <w:color w:val="000000"/>
          <w:sz w:val="28"/>
        </w:rPr>
        <w:t>в соответствии с настоящим Порядком.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Схема, и вносимые в нее изменения, утверждаются правовым актом органа местного самоуправления,</w:t>
      </w:r>
      <w:r>
        <w:rPr>
          <w:rFonts w:ascii="Times New Roman" w:hAnsi="Times New Roman"/>
          <w:color w:val="000000"/>
          <w:sz w:val="28"/>
        </w:rPr>
        <w:t xml:space="preserve"> принимаемым в порядке, установленном уставом муниципального образования.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Требования настоящего Порядка не распространяются на отношения, связанные с размещением: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нестационарных торговых объектов, находящихся на территориях розничных рынков и ярмарок;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нестационарных торговых объектов при проведении </w:t>
      </w:r>
      <w:r>
        <w:rPr>
          <w:rFonts w:ascii="Times New Roman" w:hAnsi="Times New Roman"/>
          <w:color w:val="000000"/>
          <w:sz w:val="28"/>
        </w:rPr>
        <w:t>разовых,</w:t>
      </w:r>
      <w:r>
        <w:rPr>
          <w:rFonts w:ascii="Times New Roman" w:hAnsi="Times New Roman"/>
          <w:color w:val="000000"/>
          <w:sz w:val="28"/>
        </w:rPr>
        <w:t xml:space="preserve"> праздничных, общественно-политических, культурно-массовых, спортивных и других мероприятий, имеющих временный характер.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Порядок разработан в целях: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обеспечения единства требований к организации торговой деятельности при размещении нестационарных торговых объектов на территории муниципальных образований в Камчатском крае;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соблюдения прав и законных интересов юридических лиц, </w:t>
      </w:r>
      <w:r>
        <w:rPr>
          <w:rFonts w:ascii="Times New Roman" w:hAnsi="Times New Roman"/>
          <w:color w:val="000000"/>
          <w:sz w:val="28"/>
        </w:rPr>
        <w:t xml:space="preserve">индивидуальных предпринимателей, </w:t>
      </w:r>
      <w:r>
        <w:rPr>
          <w:rFonts w:ascii="Times New Roman" w:hAnsi="Times New Roman"/>
          <w:color w:val="000000"/>
          <w:sz w:val="28"/>
        </w:rPr>
        <w:t>а также физических лиц, не являющихся индивидуальными предпринимателями и применяющими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 (далее – субъекты малого и среднего предприни</w:t>
      </w:r>
      <w:r>
        <w:rPr>
          <w:rFonts w:ascii="Times New Roman" w:hAnsi="Times New Roman"/>
          <w:color w:val="000000"/>
          <w:sz w:val="28"/>
        </w:rPr>
        <w:t xml:space="preserve">мательства), </w:t>
      </w:r>
      <w:r>
        <w:rPr>
          <w:rFonts w:ascii="Times New Roman" w:hAnsi="Times New Roman"/>
          <w:color w:val="000000"/>
          <w:sz w:val="28"/>
        </w:rPr>
        <w:t>осуществл</w:t>
      </w:r>
      <w:r>
        <w:rPr>
          <w:rFonts w:ascii="Times New Roman" w:hAnsi="Times New Roman"/>
          <w:color w:val="000000"/>
          <w:sz w:val="28"/>
        </w:rPr>
        <w:t>яющих торговую деятельность в нес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ационарных торговых объектах;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обеспечения безопасности для жизни и здоровья населения при размещении нестационарных торговых объектов;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формирования торговой инфраструктуры с учетом видов и типов торговых объектов, форм и способов торговли;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повышения доступности товаров для населения.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Схема разрабатывается с учетом: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регулирующих оборот табачных изделий, алкогольной продукции, пива и пивных напитков, изготавливаемых на его основе, и иными требованиями, установленными федеральным законодательством и законодательством Камчатского края.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необходимости обеспечения устойчивого развития территорий муниципальных образований в Камчатском крае, в том числе с учетом генеральных планов городских округов, генеральных планов городских поселений и генеральных планов сельских поселений, установленных правил землепользования и застройки, документации по планировке территорий;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необходимости достижения нормативов минимальной обеспеченности населения площадью торговых объектов.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При разработке схемы следует руководствоваться следующими принципами: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схемой должно предусматриваться размещение не менее шестидесяти процентов нестационарных торговых объектов </w:t>
      </w:r>
      <w:r>
        <w:rPr>
          <w:rFonts w:ascii="Times New Roman" w:hAnsi="Times New Roman"/>
          <w:color w:val="000000"/>
          <w:sz w:val="28"/>
        </w:rPr>
        <w:t>от общего количества нестационарных торговых объектов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используемых субъектами малого или среднего предпринимательства, </w:t>
      </w:r>
      <w:r>
        <w:rPr>
          <w:rFonts w:ascii="Times New Roman" w:hAnsi="Times New Roman"/>
          <w:color w:val="000000"/>
          <w:sz w:val="28"/>
        </w:rPr>
        <w:t>осуществляющими торговую деятельность;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утверждение схемы, внесение в нее изменений, не является основанием </w:t>
      </w:r>
      <w:r>
        <w:rPr>
          <w:rFonts w:ascii="Times New Roman" w:hAnsi="Times New Roman"/>
          <w:color w:val="000000"/>
          <w:sz w:val="28"/>
        </w:rPr>
        <w:t>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нестационарные торговые объекты должны размещаться с учетом обеспечения свободного движения пешеходов и доступа потребителей к объектам торговли и не должны ухудшать условия проживания и отдыха населения жилых массивов;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не допускается размещение нестационарных торговых объектов на территории парков, скверов, площадей, бульваров и набережных, за исключением развозной (мобильной) торговли по продаже безалкогольных напитков, кондитерских и хлебобулочных изделий, мороженого, сувенирных изделий, а также на газонах, цветниках, объектах озеленения, детских и спортивных площадках, тротуарах шириной менее 3 метров и в иных случаях, когда размещение повлечет нарушение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Уполномоченный орган разрабатывает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 в соответствии с частями 9, 10 настоящего Порядка </w:t>
      </w:r>
      <w:r>
        <w:rPr>
          <w:rFonts w:ascii="Times New Roman" w:hAnsi="Times New Roman"/>
          <w:color w:val="000000"/>
          <w:sz w:val="28"/>
        </w:rPr>
        <w:t>по форме согласно приложению к настоящему Порядку.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Проект схемы до ее утверждения подлежит согласованию: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с органами местного самоуправления муниципального образования, уполномоченными в области торговли, градостроительной деятельности, благоустройства, использования и распоряжения земельными ресурсами;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 координационным или совещательным органом в области развития малого и среднего предпринимательства, созданным при органе местного самоуправления.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Утвержденную схему в электронном виде уполномоченный орган в течение 10 дней направляет в Министерство экономического развития Камчатского края.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Утвержденная схема, а также вносимые в нее изменения подлежат официальному опубликованию в порядке, установленном для официального опубликования муниципальных правовых актов, а также размещению на официальных сайтах Министерства экономического развития Камчатского края и органа местного самоуправления в информационно-телекоммуникационной сети Интернет.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 </w:t>
      </w:r>
      <w:r>
        <w:rPr>
          <w:rFonts w:ascii="Times New Roman" w:hAnsi="Times New Roman"/>
          <w:color w:val="000000"/>
          <w:sz w:val="28"/>
        </w:rPr>
        <w:t>Изменения и дополнения в схему вносятся в соответствии с частью 6 настоящего Порядка.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 Основаниями для внесения изменений или дополнений в схему являются: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новая застройка районов, микрорайонов муниципальных образований в Камчатском крае;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ремонт и реконструкция автомобильных дорог;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прекращение или перепрофилирование деятельности стационарных торговых объектов, </w:t>
      </w:r>
      <w:r>
        <w:rPr>
          <w:rFonts w:ascii="Times New Roman" w:hAnsi="Times New Roman"/>
          <w:color w:val="000000"/>
          <w:sz w:val="28"/>
        </w:rPr>
        <w:t>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поступление предложений от </w:t>
      </w:r>
      <w:r>
        <w:rPr>
          <w:rFonts w:ascii="Times New Roman" w:hAnsi="Times New Roman"/>
          <w:color w:val="000000"/>
          <w:sz w:val="28"/>
        </w:rPr>
        <w:t>территориальных федеральных исполнительных органов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исполнительных органов Камчатского края и (или) органов местного самоуправления муниципальных образований в Камчатском крае, координационных или совещательных органов малого и среднего предпринимательства, а также от заинтересованных юридических лиц, индивидуальных предпринимателей;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изменение сведений о конкретном нестационарном торговом объекте и изменении условий, </w:t>
      </w:r>
      <w:r>
        <w:rPr>
          <w:rFonts w:ascii="Times New Roman" w:hAnsi="Times New Roman"/>
          <w:color w:val="000000"/>
          <w:sz w:val="28"/>
        </w:rPr>
        <w:t>указанных в форме схемы, прилагаемой к настоящему Порядку</w:t>
      </w:r>
      <w:r>
        <w:rPr>
          <w:rFonts w:ascii="Times New Roman" w:hAnsi="Times New Roman"/>
          <w:color w:val="000000"/>
          <w:sz w:val="28"/>
        </w:rPr>
        <w:t>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реализация мероприятий, предусмотренных целевыми программами развития торговли соответствующих муниципальных образований в Камчатском крае, развития торговли Камчатского края, а также программой социально-экономического развития Камчатского края;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изъятие земельных участков, на которых размещены нестационарные торговые объекты, для государственных или муниципальных нужд;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изменение градостроительных регламентов;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выявление нарушений при размещении нестационарных торговых объектов норм действующего федерального и (или) регионального земельного законодательства, законодательства в сфере градостроительной деятельности, а также требований, предусмотренных законодательством Российской Федерации о защите прав потребителей в области обеспечения санитарно-эпидемиологического благополучия, о пожарной безопасности, в области охраны окружающей среды и ограничений, установленных в сфере оборота табачных изделий, пива и напитков, изготовленных на его основе, требований настоящего Порядка.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Утвержденные нормативы минимальной обеспеченности населения площадью торговых объектов не могут служить основанием для пересмотра размещения нестационарных торговых объектов, строительство и реконструкция которых начаты либо завершены до утверждения указанных нормативов.</w:t>
      </w:r>
    </w:p>
    <w:p w14:paraId="61000000">
      <w:pPr>
        <w:sectPr>
          <w:headerReference r:id="rId2" w:type="default"/>
          <w:pgSz w:h="16848" w:orient="portrait" w:w="11908"/>
          <w:pgMar w:bottom="1134" w:footer="709" w:gutter="0" w:header="709" w:left="1417" w:right="850" w:top="1134"/>
          <w:pgNumType w:start="1"/>
          <w:titlePg/>
        </w:sectPr>
      </w:pPr>
    </w:p>
    <w:p w14:paraId="62000000">
      <w:pPr>
        <w:spacing w:after="0" w:line="240" w:lineRule="auto"/>
        <w:ind w:firstLine="7937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к Порядку</w:t>
      </w:r>
    </w:p>
    <w:p w14:paraId="63000000">
      <w:pPr>
        <w:spacing w:after="0" w:line="240" w:lineRule="auto"/>
        <w:ind w:firstLine="0" w:left="793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разработки и утверждения органами местного самоуправления </w:t>
      </w:r>
      <w:r>
        <w:rPr>
          <w:rFonts w:ascii="Times New Roman" w:hAnsi="Times New Roman"/>
          <w:color w:val="000000"/>
          <w:sz w:val="28"/>
        </w:rPr>
        <w:t>муниципальных образований</w:t>
      </w:r>
    </w:p>
    <w:p w14:paraId="64000000">
      <w:pPr>
        <w:spacing w:after="0" w:line="240" w:lineRule="auto"/>
        <w:ind w:firstLine="0" w:left="793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Камчатском крае </w:t>
      </w:r>
      <w:r>
        <w:rPr>
          <w:rFonts w:ascii="Times New Roman" w:hAnsi="Times New Roman"/>
          <w:color w:val="000000"/>
          <w:sz w:val="28"/>
        </w:rPr>
        <w:t>схемы размещения</w:t>
      </w:r>
    </w:p>
    <w:p w14:paraId="65000000">
      <w:pPr>
        <w:spacing w:after="0" w:line="240" w:lineRule="auto"/>
        <w:ind w:firstLine="0" w:left="793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нестационарных торговых объектов</w:t>
      </w:r>
    </w:p>
    <w:p w14:paraId="66000000">
      <w:pPr>
        <w:spacing w:after="0" w:line="240" w:lineRule="auto"/>
        <w:ind w:firstLine="0" w:left="7937"/>
        <w:jc w:val="left"/>
        <w:rPr>
          <w:rFonts w:ascii="Times New Roman" w:hAnsi="Times New Roman"/>
          <w:color w:val="000000"/>
          <w:sz w:val="28"/>
        </w:rPr>
      </w:pPr>
    </w:p>
    <w:p w14:paraId="67000000">
      <w:pPr>
        <w:spacing w:after="0" w:line="240" w:lineRule="auto"/>
        <w:ind w:firstLine="0" w:left="7937"/>
        <w:jc w:val="left"/>
        <w:rPr>
          <w:rFonts w:ascii="Times New Roman" w:hAnsi="Times New Roman"/>
          <w:color w:val="000000"/>
          <w:sz w:val="28"/>
        </w:rPr>
      </w:pPr>
    </w:p>
    <w:p w14:paraId="68000000">
      <w:pPr>
        <w:spacing w:after="0" w:line="240" w:lineRule="auto"/>
        <w:ind w:hanging="3543" w:left="411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Схема</w:t>
      </w:r>
    </w:p>
    <w:p w14:paraId="69000000">
      <w:pPr>
        <w:spacing w:after="0" w:line="240" w:lineRule="auto"/>
        <w:ind w:hanging="3543" w:left="453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размещения нестационарных торговых объектов </w:t>
      </w:r>
      <w:r>
        <w:rPr>
          <w:rFonts w:ascii="Times New Roman" w:hAnsi="Times New Roman"/>
          <w:color w:val="000000"/>
          <w:sz w:val="28"/>
        </w:rPr>
        <w:t>на территории</w:t>
      </w:r>
    </w:p>
    <w:p w14:paraId="6A000000">
      <w:pPr>
        <w:spacing w:after="0" w:line="240" w:lineRule="auto"/>
        <w:ind w:hanging="3543" w:left="453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t>_____________________________________________</w:t>
      </w:r>
    </w:p>
    <w:p w14:paraId="6B000000">
      <w:pPr>
        <w:spacing w:after="0" w:line="240" w:lineRule="auto"/>
        <w:ind w:hanging="3543" w:left="453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t>(наименование муниципального образования)</w:t>
      </w:r>
    </w:p>
    <w:p w14:paraId="6C000000">
      <w:pPr>
        <w:spacing w:after="0" w:line="240" w:lineRule="auto"/>
        <w:ind w:hanging="3543" w:left="4535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0"/>
        <w:gridCol w:w="2147"/>
        <w:gridCol w:w="1276"/>
        <w:gridCol w:w="1935"/>
        <w:gridCol w:w="2621"/>
        <w:gridCol w:w="2163"/>
        <w:gridCol w:w="1864"/>
        <w:gridCol w:w="2125"/>
      </w:tblGrid>
      <w:tr>
        <w:tc>
          <w:tcPr>
            <w:tcW w:type="dxa" w:w="4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размещения (адресный ориентир) нестационарного торгового объекта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71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земельного</w:t>
            </w:r>
          </w:p>
          <w:p w14:paraId="7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участка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74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нестационарного</w:t>
            </w:r>
          </w:p>
          <w:p w14:paraId="75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торгового объекта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собственности земельного участка, здания, сооружения, где расположен нестационарный</w:t>
            </w:r>
          </w:p>
          <w:p w14:paraId="77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объект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(универсальный, специализированный, общественное питание, бытовые услуги)</w:t>
            </w:r>
          </w:p>
        </w:tc>
        <w:tc>
          <w:tcPr>
            <w:tcW w:type="dxa" w:w="186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</w:p>
          <w:p w14:paraId="7A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нестационарного торгового объекта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</w:t>
            </w:r>
          </w:p>
          <w:p w14:paraId="7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размещения</w:t>
            </w:r>
          </w:p>
          <w:p w14:paraId="7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нестационарного</w:t>
            </w:r>
          </w:p>
          <w:p w14:paraId="7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торгового объекта</w:t>
            </w:r>
          </w:p>
          <w:p w14:paraId="7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(круглогодичное, сезонное)</w:t>
            </w:r>
          </w:p>
        </w:tc>
      </w:tr>
      <w:tr>
        <w:trPr>
          <w:trHeight w:hRule="atLeast" w:val="245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14:paraId="88000000">
      <w:pPr>
        <w:spacing w:after="0" w:line="240" w:lineRule="auto"/>
        <w:ind w:hanging="3543" w:left="4535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».</w:t>
      </w:r>
    </w:p>
    <w:sectPr>
      <w:headerReference r:id="rId3" w:type="first"/>
      <w:headerReference r:id="rId1" w:type="default"/>
      <w:type w:val="nextPage"/>
      <w:pgSz w:h="11908" w:orient="landscape" w:w="1684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1"/>
    <w:link w:val="Style_14_ch"/>
    <w:rPr>
      <w:color w:themeColor="hyperlink" w:val="0563C1"/>
      <w:u w:val="single"/>
    </w:rPr>
  </w:style>
  <w:style w:styleId="Style_14_ch" w:type="character">
    <w:name w:val="Hyperlink"/>
    <w:basedOn w:val="Style_11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2023-05-12T02:54:48Z</dcterms:modified>
</cp:coreProperties>
</file>