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439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427"/>
        <w:gridCol w:w="1985"/>
      </w:tblGrid>
      <w:tr>
        <w:trPr/>
        <w:tc>
          <w:tcPr>
            <w:tcW w:w="198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34" w:hanging="0"/>
              <w:jc w:val="center"/>
              <w:rPr>
                <w:rFonts w:ascii="Times New Roman" w:hAnsi="Times New Roman"/>
                <w:sz w:val="20"/>
              </w:rPr>
            </w:pPr>
            <w:bookmarkStart w:id="0" w:name="REGDATESTAMP"/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[Д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ата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]</w:t>
            </w:r>
            <w:bookmarkEnd w:id="0"/>
          </w:p>
        </w:tc>
        <w:tc>
          <w:tcPr>
            <w:tcW w:w="4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0"/>
              </w:rPr>
            </w:pPr>
            <w:bookmarkStart w:id="1" w:name="REGNUMSTAMP"/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[Н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омер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документа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]</w:t>
            </w:r>
            <w:bookmarkEnd w:id="1"/>
          </w:p>
        </w:tc>
      </w:tr>
    </w:tbl>
    <w:p>
      <w:pPr>
        <w:pStyle w:val="Normal"/>
        <w:spacing w:lineRule="auto" w:line="240" w:before="0" w:after="0"/>
        <w:ind w:left="0" w:right="5526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439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</w:tblGrid>
      <w:tr>
        <w:trPr/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0" w:hanging="0"/>
              <w:jc w:val="both"/>
              <w:rPr>
                <w:rFonts w:ascii="Times New Roman" w:hAnsi="Times New Roman"/>
                <w:sz w:val="28"/>
              </w:rPr>
            </w:pPr>
            <w:bookmarkStart w:id="2" w:name="_Hlk95231457"/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Об утверждении Порядка </w:t>
            </w:r>
            <w:bookmarkStart w:id="3" w:name="_Hlk95231648"/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предоставления из краевого бюджета субсидий ООО «КРДВ Камчатка» в целях финансового обеспечения затрат, возникающих при реализации функций по управлению территорией опережающего развития «Камчатка»</w:t>
            </w:r>
            <w:bookmarkEnd w:id="2"/>
            <w:bookmarkEnd w:id="3"/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, установленных федеральным законом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частями 1 и 4.2 статьи 78 Бюджетного кодекса Российской Федерации, Федеральным законом от 29.12.2014 № 473-ФЗ</w:t>
      </w:r>
      <w:r>
        <w:rPr/>
        <w:br/>
      </w:r>
      <w:r>
        <w:rPr>
          <w:rFonts w:ascii="Times New Roman" w:hAnsi="Times New Roman"/>
          <w:sz w:val="28"/>
        </w:rPr>
        <w:t>«О территориях опережающего развития в Российской Федерации»,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</w:t>
      </w:r>
      <w:r>
        <w:rPr/>
        <w:br/>
      </w:r>
      <w:r>
        <w:rPr>
          <w:rFonts w:ascii="Times New Roman" w:hAnsi="Times New Roman"/>
          <w:sz w:val="28"/>
        </w:rPr>
        <w:t>а также физическим лицам - производителям товаров, работ, услуг,</w:t>
        <w:br/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Порядок предоставления из краевого бюджета субсидий ООО «КРДВ Камчатка» в целях финансового обеспечения затрат, возникающих при реализации функций по управлению территорией опережающего развития «Камчатка», установленных федеральным законом, согласно приложению</w:t>
      </w:r>
      <w:r>
        <w:rPr/>
        <w:br/>
      </w:r>
      <w:r>
        <w:rPr>
          <w:rFonts w:ascii="Times New Roman" w:hAnsi="Times New Roman"/>
          <w:sz w:val="28"/>
        </w:rPr>
        <w:t>к настоящему постановлению.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Постановление Правительства Камчатского края от 17.06.2022 № 324-П «Об утверждении Порядка предоставления субсидий ООО «УК ТОР «Камчатка» на 2022 год в целях финансового обеспечения затрат, возникающих при реализации функций по управлению территорией опережающего социально-экономического развития «Камчатка» признать утратившим силу.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9"/>
        <w:gridCol w:w="3349"/>
        <w:gridCol w:w="2629"/>
      </w:tblGrid>
      <w:tr>
        <w:trPr>
          <w:trHeight w:val="1256" w:hRule="atLeast"/>
        </w:trPr>
        <w:tc>
          <w:tcPr>
            <w:tcW w:w="36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" w:right="0" w:hanging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</w:tc>
        <w:tc>
          <w:tcPr>
            <w:tcW w:w="33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16" w:hanging="0"/>
              <w:jc w:val="center"/>
              <w:rPr>
                <w:rFonts w:ascii="Times New Roman" w:hAnsi="Times New Roman"/>
                <w:sz w:val="28"/>
              </w:rPr>
            </w:pPr>
            <w:bookmarkStart w:id="4" w:name="SIGNERSTAMP1"/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[горизонтальный штамп подписи 1]</w:t>
            </w:r>
            <w:bookmarkEnd w:id="4"/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70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62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6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6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Е.А. Чекин</w:t>
            </w:r>
          </w:p>
        </w:tc>
      </w:tr>
    </w:tbl>
    <w:p>
      <w:pPr>
        <w:pStyle w:val="Normal"/>
        <w:spacing w:lineRule="auto" w:line="240"/>
        <w:rPr>
          <w:sz w:val="2"/>
        </w:rPr>
      </w:pPr>
      <w:r>
        <w:rPr>
          <w:sz w:val="2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387" w:right="0" w:hanging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постановлению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387" w:right="0" w:hanging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387" w:right="0" w:hanging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[</w:t>
      </w:r>
      <w:r>
        <w:rPr>
          <w:rFonts w:ascii="Times New Roman" w:hAnsi="Times New Roman"/>
          <w:sz w:val="20"/>
        </w:rPr>
        <w:t>Дата регистрации</w:t>
      </w:r>
      <w:r>
        <w:rPr>
          <w:rFonts w:ascii="Times New Roman" w:hAnsi="Times New Roman"/>
          <w:sz w:val="28"/>
        </w:rPr>
        <w:t>] № [</w:t>
      </w:r>
      <w:r>
        <w:rPr>
          <w:rFonts w:ascii="Times New Roman" w:hAnsi="Times New Roman"/>
        </w:rPr>
        <w:t>Номер</w:t>
      </w:r>
      <w:r>
        <w:rPr>
          <w:rFonts w:ascii="Times New Roman" w:hAnsi="Times New Roman"/>
          <w:sz w:val="20"/>
        </w:rPr>
        <w:t xml:space="preserve"> документа</w:t>
      </w:r>
      <w:r>
        <w:rPr>
          <w:rFonts w:ascii="Times New Roman" w:hAnsi="Times New Roman"/>
          <w:sz w:val="28"/>
        </w:rPr>
        <w:t>]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из краевого бюджета субсидий ООО «КРДВ Камчатка»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финансового обеспечения затрат, возникающих при реализации функций по управлению территорией опережающего развития «Камчатка», установленных федеральным законом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регулирует вопросы предоставления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из краевого бюджета субсидий ООО «КРДВ Камчатка» в целях достижения результатов основного мероприятия</w:t>
      </w:r>
      <w:r>
        <w:rPr>
          <w:rFonts w:ascii="Times New Roman" w:hAnsi="Times New Roman"/>
          <w:b w:val="false"/>
          <w:sz w:val="28"/>
        </w:rPr>
        <w:t xml:space="preserve"> 9.1 «</w:t>
      </w:r>
      <w:r>
        <w:rPr>
          <w:rFonts w:ascii="Times New Roman" w:hAnsi="Times New Roman"/>
          <w:sz w:val="28"/>
        </w:rPr>
        <w:t>Финансовое обеспечение затрат, возникающих при реализации функций по управлению территорией опережающего развития «Камчатка», установленных федеральным законом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b w:val="false"/>
          <w:sz w:val="28"/>
        </w:rPr>
        <w:t xml:space="preserve"> подпрограммы 9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false"/>
          <w:color w:val="000000"/>
          <w:sz w:val="28"/>
        </w:rPr>
        <w:t>Обеспечение эффективного функционирования территории опережающего развития «Камчатка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b w:val="false"/>
          <w:sz w:val="28"/>
        </w:rPr>
        <w:t xml:space="preserve"> государственной программы Камчатского края </w:t>
      </w:r>
      <w:r>
        <w:rPr>
          <w:rFonts w:ascii="Times New Roman" w:hAnsi="Times New Roman"/>
          <w:sz w:val="28"/>
        </w:rPr>
        <w:t>«Развитие экономики и внешнеэкономической деятельности Камчатского края», утвержденной постановлением Правительства Камчатского края</w:t>
        <w:br/>
        <w:t>от 01.07.2021 № 277-П (далее – Госпрограмма).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должен являться дочерним обществом управляющей компании территории опережающего развития «Камчатка», осуществляющим отдельные функции по управлению территорией опережающего развития «Камчатка», которому в соответствии</w:t>
      </w:r>
      <w:r>
        <w:rPr/>
        <w:br/>
      </w:r>
      <w:r>
        <w:rPr>
          <w:rFonts w:ascii="Times New Roman" w:hAnsi="Times New Roman"/>
          <w:sz w:val="28"/>
        </w:rPr>
        <w:t>с Федеральным законом от 29.12.2014 № 473-ФЗ «О территориях опережающего развития в Российской Федерации» переданы функции управляющей компании.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 Министерство экономического развития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Министерством в пределах лимитов бюджетных обязательств, доведенных в установленном порядке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до Министерства, в период действия основного мероприятия 9.1 подпрограммы Госпрограммы.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Понятия, используемые в настоящем Порядке, применяются в том же значении, что и в Федеральном законе от 29.12.2014 № 473-ФЗ «О территориях опережающего развития в Российской Федерации».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К получателю субсидии относятся следующие функции: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выступать в качестве застройщика объектов инфраструктуры территории опережающего социально-экономического развития;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обеспечивать функционирование объектов инфраструктуры территории опережающего социально-экономического развития и (или) организовывать обеспечение их функционирования;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организовывать предоставление резидентам территории опережающего развития услуг, необходимых для осуществления деятельности на территории опережающего развития (в том числе юридических услуг, услуг по ведению бухгалтерского учета, услуг по таможенному оформлению);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получать технические условия подключения (технологического присоединения) к сетям инженерно-технического обеспечения и осуществлять передачу этих условий индивидуальным предпринимателям, юридическим лицам, осуществляющим строительство или реконструкцию;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защищать интересы обратившихся к ней резидентов в суде, предъявлять иски по делам, возникающим из административных и иных публичных правоотношений, о защите прав и законных интересов неопределенного круга юридических лиц и индивидуальных предпринимателей, имеющих статус резидента;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подготавливать предложения о внесении изменений в генеральные планы поселений, генеральные планы городских округов, схемы территориального планирования муниципальных районов, в границах которых расположена территория опережающего развития, а также в правила землепользования и застройки указанных муниципальных образований;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организовывать строительство и эксплуатацию автомобильных дорог;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организовывать размещение объектов инфраструктуры территории опережающего развития;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организовывать транспортное обслуживание на территории опережающего развития;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организовывать электроснабжение, теплоснабжение, газоснабжение, холодное и горячее водоснабжение, водоотведение на территории опережающего развития;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организовывать сбор, транспортировку твердых коммунальных отходов, строительство объектов, использующихся для размещения</w:t>
      </w:r>
      <w:r>
        <w:rPr/>
        <w:br/>
      </w:r>
      <w:r>
        <w:rPr>
          <w:rFonts w:ascii="Times New Roman" w:hAnsi="Times New Roman"/>
          <w:sz w:val="28"/>
        </w:rPr>
        <w:t>и утилизации указанных отходов, а также благоустройство территории опережающего развития;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создавать условия для обеспечения лиц, находящихся на территории опережающего развития, услугами связи, общественного питания, торговли</w:t>
      </w:r>
      <w:r>
        <w:rPr/>
        <w:br/>
      </w:r>
      <w:r>
        <w:rPr>
          <w:rFonts w:ascii="Times New Roman" w:hAnsi="Times New Roman"/>
          <w:sz w:val="28"/>
        </w:rPr>
        <w:t>и бытового обслуживания, а также для организации досуга таких лиц;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обеспечивать все мероприятия, необходимые для исполнения решения о принудительном отчуждении земельных участков (изъятии земельных участков) и (или) расположенных на них объектов недвижимого имущества, иного имущества, в том числе проводить по поручению уполномоченного федерального органа оценку изымаемого недвижимого имущества, осуществлять необходимые кадастровые работы, проводить переговоры с правообладателями изымаемого недвижимого имущества.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>5. Затраты, возникающие при реализации получателем субсидии функций по управлению территорией опережающего развития «Камчатка» включают</w:t>
        <w:br/>
        <w:t>в себя следующие направления расходов: оплата труда, компенсация расходов на оплату стоимости проезда и провоза багажа к месту использования отпуска</w:t>
        <w:br/>
        <w:t>и обратно, возмещение расходов, связанных со служебными командировками, арендная плата за помещения и автотранспорт, содержание имущества (коммунальные расходы), информационное сопровождение (полиграфия), расходные и вспомогательные материалы к компьютерному оборудованию</w:t>
        <w:br/>
        <w:t>и оргтехнике, канцелярские товары, периодические издания</w:t>
        <w:br/>
        <w:t>и литература, услуги в сфере информационных технологий (сопровождение</w:t>
        <w:br/>
        <w:t xml:space="preserve">и техническое обслуживание IT-инфраструктуры, лицензионного программного обеспечения), аудиторские и консалтинговые услуги, по сопровождению закупочной деятельности, повышение квалификации (обучение </w:t>
      </w:r>
      <w:r>
        <w:rPr>
          <w:rFonts w:ascii="Times New Roman" w:hAnsi="Times New Roman"/>
          <w:sz w:val="28"/>
          <w:szCs w:val="28"/>
          <w:shd w:fill="auto" w:val="clear"/>
        </w:rPr>
        <w:t>персонала</w:t>
      </w:r>
      <w:r>
        <w:rPr>
          <w:rFonts w:ascii="Times New Roman" w:hAnsi="Times New Roman"/>
          <w:sz w:val="28"/>
          <w:szCs w:val="28"/>
          <w:shd w:fill="auto" w:val="clear"/>
        </w:rPr>
        <w:t>).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6. Сведения </w:t>
      </w:r>
      <w:r>
        <w:rPr>
          <w:rFonts w:ascii="Times New Roman" w:hAnsi="Times New Roman"/>
          <w:color w:val="000000"/>
          <w:sz w:val="28"/>
        </w:rPr>
        <w:t>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не позднее 15-го рабочего дня, следующего за днем принятия закона о бюджете (закона о внесении изменений в закон о бюджете).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  <w:shd w:fill="auto" w:val="clear"/>
        </w:rPr>
        <w:t>Условием предоставления субсидий является соответствие получателя субсидии на дату предоставлении заявки на получение субсидии, в котором планируется заключение соглашения о предоставлении субсид</w:t>
      </w:r>
      <w:r>
        <w:rPr>
          <w:rFonts w:ascii="Times New Roman" w:hAnsi="Times New Roman"/>
          <w:sz w:val="28"/>
        </w:rPr>
        <w:t>ий, следующим требованиям: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у получателя субсидии отсутствует неисполненная обязанность</w:t>
      </w:r>
      <w:r>
        <w:rPr/>
        <w:br/>
      </w:r>
      <w:r>
        <w:rPr>
          <w:rFonts w:ascii="Times New Roman" w:hAnsi="Times New Roman"/>
          <w:sz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не находится в процессе реорганизации</w:t>
      </w:r>
      <w:r>
        <w:rPr/>
        <w:br/>
      </w:r>
      <w:r>
        <w:rPr>
          <w:rFonts w:ascii="Times New Roman" w:hAnsi="Times New Roman"/>
          <w:sz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</w:t>
      </w:r>
      <w:r>
        <w:rPr/>
        <w:br/>
      </w:r>
      <w:r>
        <w:rPr>
          <w:rFonts w:ascii="Times New Roman" w:hAnsi="Times New Roman"/>
          <w:sz w:val="28"/>
        </w:rPr>
        <w:t>в отношении него не введена процедура банкротства, его деятельность</w:t>
      </w:r>
      <w:r>
        <w:rPr/>
        <w:br/>
      </w:r>
      <w:r>
        <w:rPr>
          <w:rFonts w:ascii="Times New Roman" w:hAnsi="Times New Roman"/>
          <w:sz w:val="28"/>
        </w:rPr>
        <w:t>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реестре дисквалифицированных лиц отсутствуют сведения</w:t>
      </w:r>
      <w:r>
        <w:rPr/>
        <w:br/>
      </w:r>
      <w:r>
        <w:rPr>
          <w:rFonts w:ascii="Times New Roman" w:hAnsi="Times New Roman"/>
          <w:sz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субсидий;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4) получатель субсидии не является иностранным юридическим лицом</w:t>
      </w:r>
      <w:r>
        <w:rPr>
          <w:rFonts w:ascii="Times New Roman" w:hAnsi="Times New Roman"/>
          <w:color w:val="000000" w:themeColor="text1"/>
          <w:sz w:val="28"/>
        </w:rPr>
        <w:t>,</w:t>
      </w:r>
      <w:r>
        <w:rPr/>
        <w:br/>
      </w:r>
      <w:r>
        <w:rPr>
          <w:rFonts w:ascii="Times New Roman" w:hAnsi="Times New Roman"/>
          <w:color w:val="000000" w:themeColor="text1"/>
          <w:sz w:val="28"/>
        </w:rPr>
        <w:t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</w:t>
      </w:r>
      <w:r>
        <w:rPr/>
        <w:br/>
      </w:r>
      <w:r>
        <w:rPr>
          <w:rFonts w:ascii="Times New Roman" w:hAnsi="Times New Roman"/>
          <w:color w:val="000000" w:themeColor="text1"/>
          <w:sz w:val="28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</w:t>
        <w:br/>
        <w:t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</w:t>
      </w:r>
      <w:r>
        <w:rPr/>
        <w:br/>
      </w:r>
      <w:r>
        <w:rPr>
          <w:rFonts w:ascii="Times New Roman" w:hAnsi="Times New Roman"/>
          <w:color w:val="000000" w:themeColor="text1"/>
          <w:sz w:val="28"/>
        </w:rPr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получатель субсидии не получает средства из краевого бюджета</w:t>
      </w:r>
      <w:r>
        <w:rPr/>
        <w:br/>
      </w:r>
      <w:r>
        <w:rPr>
          <w:rFonts w:ascii="Times New Roman" w:hAnsi="Times New Roman"/>
          <w:sz w:val="28"/>
        </w:rPr>
        <w:t>на основании иных нормативных правовых актов Камчатского края на цели, указанные в части 1 настоящего Порядка;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6) у получат</w:t>
      </w:r>
      <w:r>
        <w:rPr>
          <w:rFonts w:ascii="Times New Roman" w:hAnsi="Times New Roman"/>
          <w:color w:val="000000" w:themeColor="text1"/>
          <w:sz w:val="28"/>
        </w:rPr>
        <w:t>еля субсидии отсутствует просроченная задолженность</w:t>
      </w:r>
      <w:r>
        <w:rPr/>
        <w:br/>
      </w:r>
      <w:r>
        <w:rPr>
          <w:rFonts w:ascii="Times New Roman" w:hAnsi="Times New Roman"/>
          <w:color w:val="000000" w:themeColor="text1"/>
          <w:sz w:val="28"/>
        </w:rPr>
        <w:t>по возврату в краевой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</w:t>
      </w:r>
      <w:r>
        <w:rPr/>
        <w:br/>
      </w:r>
      <w:r>
        <w:rPr>
          <w:rFonts w:ascii="Times New Roman" w:hAnsi="Times New Roman"/>
          <w:color w:val="000000" w:themeColor="text1"/>
          <w:sz w:val="28"/>
        </w:rPr>
        <w:t>а также иная просроченная (неурегулированная) задолженность по денежным обязательствам перед Камчатским краем;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7) получатель субсидии не находится </w:t>
      </w:r>
      <w:r>
        <w:rPr>
          <w:rFonts w:ascii="Times New Roman" w:hAnsi="Times New Roman"/>
          <w:sz w:val="28"/>
        </w:rPr>
        <w:t>в перечне организаций</w:t>
      </w:r>
      <w:r>
        <w:rPr/>
        <w:br/>
      </w:r>
      <w:r>
        <w:rPr>
          <w:rFonts w:ascii="Times New Roman" w:hAnsi="Times New Roman"/>
          <w:sz w:val="28"/>
        </w:rPr>
        <w:t>и физических лиц, в отношении которых имеются сведения об их причастности к экстремистской деятельности или терроризму, либо в перечне организаций</w:t>
      </w:r>
      <w:r>
        <w:rPr/>
        <w:br/>
      </w:r>
      <w:r>
        <w:rPr>
          <w:rFonts w:ascii="Times New Roman" w:hAnsi="Times New Roman"/>
          <w:sz w:val="28"/>
        </w:rPr>
        <w:t>и физических лиц, в отношении которых имеются сведения об их причастности к распространению оружия массового уничтожения;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8) отсутствие у получателя субсидии просроченной задолженности</w:t>
      </w:r>
      <w:r>
        <w:rPr/>
        <w:br/>
      </w:r>
      <w:r>
        <w:rPr>
          <w:rFonts w:ascii="Times New Roman" w:hAnsi="Times New Roman"/>
          <w:color w:val="000000" w:themeColor="text1"/>
          <w:sz w:val="28"/>
        </w:rPr>
        <w:t>по заработной плате;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9) отсутствие у получателя субсидии задолженности по оплате уставного капитала.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Для получения субсидий получатель субсидий представляет</w:t>
      </w:r>
      <w:r>
        <w:rPr/>
        <w:br/>
      </w:r>
      <w:r>
        <w:rPr>
          <w:rFonts w:ascii="Times New Roman" w:hAnsi="Times New Roman"/>
          <w:sz w:val="28"/>
        </w:rPr>
        <w:t>на бумажном носителе почтовой связью или нарочным способом</w:t>
      </w:r>
      <w:r>
        <w:rPr/>
        <w:br/>
      </w:r>
      <w:r>
        <w:rPr>
          <w:rFonts w:ascii="Times New Roman" w:hAnsi="Times New Roman"/>
          <w:sz w:val="28"/>
        </w:rPr>
        <w:t>в Министерство следующие документы: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заявку на предоставление субсидии, включающую расчет потребности в средствах субсидии, с указанием реквизитов расчетного счета, открытого</w:t>
      </w:r>
      <w:r>
        <w:rPr/>
        <w:br/>
      </w:r>
      <w:r>
        <w:rPr>
          <w:rFonts w:ascii="Times New Roman" w:hAnsi="Times New Roman"/>
          <w:sz w:val="28"/>
        </w:rPr>
        <w:t>в банке или другой кредитной организации, по форме, утвержденной приказом Министерства;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заверенную копию устава юридического лица – получателя субсидии;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копию решения о создании юридического лица – получателя субсидии;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справку, подписанную руководителем получателя субсидии, подтверждающую соответствие получателя субсидии требованиям, указанным в части 7 настоящего Порядка.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копию письма Минвостокразвития России, подтверждающего согласование передачи функций по обеспечению размещения объектов инфраструктуры территории опережающего развития «Камчатка»</w:t>
      </w:r>
      <w:r>
        <w:rPr/>
        <w:br/>
      </w:r>
      <w:r>
        <w:rPr>
          <w:rFonts w:ascii="Times New Roman" w:hAnsi="Times New Roman"/>
          <w:sz w:val="28"/>
        </w:rPr>
        <w:t>от управляющей компании территории опережающего развития «Камчатка» дочернему обществу (участнику отбора) в соответствии с приказом Минвостокразвития России от 27.02.2015 № 18 «О Порядке согласования перечня функций, передаваемых управляющей компанией территории опережающего социально-экономического развития дочернему обществу управляющей компании территории опережающего социально-экономического развития»;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согласия на обработку персональных данных (в отношении руководителей и их главных бухгалтеров) по форме, установленной Министерством;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Документы, указанные в части 8 настоящего Порядка, подлежат регистрации в день их поступления в Министерство.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не вправе требовать от получателя субсидии иных сведений и документов, кроме сведений и документов, предусмотренных частью 8 настоящего Порядка.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Министерство в течение 3 рабочих дней со дня получения документов, указанных в части 8 настоящего Порядка, получает в отношении получателя субсидии сведения из Единого государственного реестра юридических лиц на официальном сайте Федеральной налоговой службы</w:t>
      </w:r>
      <w:r>
        <w:rPr/>
        <w:br/>
      </w:r>
      <w:r>
        <w:rPr>
          <w:rFonts w:ascii="Times New Roman" w:hAnsi="Times New Roman"/>
          <w:sz w:val="28"/>
        </w:rPr>
        <w:t>на странице «Предоставление сведений из ЕГРЮЛ/ЕГРИП в электронном виде», а также осуществляет сверку информации по пункту 3 части 7 настоящего Порядка на официальном сайте Федеральной налоговой службы</w:t>
      </w:r>
      <w:r>
        <w:rPr/>
        <w:br/>
      </w:r>
      <w:r>
        <w:rPr>
          <w:rFonts w:ascii="Times New Roman" w:hAnsi="Times New Roman"/>
          <w:sz w:val="28"/>
        </w:rPr>
        <w:t>на странице «Поиск сведений в реестре дисквалифицированных лиц».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вправе самостоятельно представить</w:t>
      </w:r>
      <w:r>
        <w:rPr/>
        <w:br/>
      </w:r>
      <w:r>
        <w:rPr>
          <w:rFonts w:ascii="Times New Roman" w:hAnsi="Times New Roman"/>
          <w:sz w:val="28"/>
        </w:rPr>
        <w:t>в Министерство выписку из Единого государственного реестра юридических лиц.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 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субсидии уведомление о принятом решении</w:t>
      </w:r>
      <w:r>
        <w:rPr/>
        <w:br/>
      </w:r>
      <w:r>
        <w:rPr>
          <w:rFonts w:ascii="Times New Roman" w:hAnsi="Times New Roman"/>
          <w:sz w:val="28"/>
        </w:rPr>
        <w:t>с обоснованием причин отказа, направляемое посредством почтового отправления, или на адрес электронной почты, или иным способом, обеспечивающим подтверждение получения указанного требования получателем субсидии.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В случае принятия решения о предоставлении субсидий Министерство в течение 3 рабочих дней со дня принятия такого решения направляет получателю субсидий проект соглашения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получателем субсидий.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субсидий в течение 5 рабочих дней со дня получения проекта соглашения подписывает его и возвращает в Министерство два экземпляра проекта соглашения лично, либо посредством почтового отправления</w:t>
      </w:r>
      <w:r>
        <w:rPr/>
        <w:br/>
      </w:r>
      <w:r>
        <w:rPr>
          <w:rFonts w:ascii="Times New Roman" w:hAnsi="Times New Roman"/>
          <w:sz w:val="28"/>
        </w:rPr>
        <w:t>с уведомлением о вручении.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2 рабочих дней со дня получения двух экземпляров проекта соглашения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получателя субсидий.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непоступления в Министерство двух экземпляров подписанного соглашения в течение 15 рабочих дней со дня получения получателем субсидий проекта соглашения получатель субсидий признается уклонившимся</w:t>
      </w:r>
      <w:r>
        <w:rPr/>
        <w:br/>
      </w:r>
      <w:r>
        <w:rPr>
          <w:rFonts w:ascii="Times New Roman" w:hAnsi="Times New Roman"/>
          <w:sz w:val="28"/>
        </w:rPr>
        <w:t>от заключения соглашения.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 о предоставлении субсидии, дополнительное соглашение</w:t>
      </w:r>
      <w:r>
        <w:rPr/>
        <w:br/>
      </w:r>
      <w:r>
        <w:rPr>
          <w:rFonts w:ascii="Times New Roman" w:hAnsi="Times New Roman"/>
          <w:sz w:val="28"/>
        </w:rPr>
        <w:t>к соглашению о предоставлении субсидии, в том числе дополнительное соглашение о расторжении соглашения о предоставлении субсидии (при необходимости) заключаются в соответствии с типовой формой, утвержденной Министерством финансов Камчатского края.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 Основаниями отказа в предоставлении субсидии являются: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несоответствие представленных получателем субсидии документов требованиям, установленным частью 7 настоящего Порядка;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непредставление или представление не в полном объеме получателем субсидии документов, указанных в части 8 настоящего Порядка;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установление факта недостоверности представленной получателем субсидии информации;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несоответствие получателя субсидии условию предоставления субсидий, установленным частью 7 настоящего Порядка.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 Обязательными условиями предоставления субсидий, включаемыми</w:t>
      </w:r>
      <w:r>
        <w:rPr/>
        <w:br/>
      </w:r>
      <w:r>
        <w:rPr>
          <w:rFonts w:ascii="Times New Roman" w:hAnsi="Times New Roman"/>
          <w:sz w:val="28"/>
        </w:rPr>
        <w:t>в соглашение о предоставлении субсидии, являются: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согласие соответственно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</w:t>
      </w:r>
      <w:r>
        <w:rPr/>
        <w:br/>
      </w:r>
      <w:r>
        <w:rPr>
          <w:rFonts w:ascii="Times New Roman" w:hAnsi="Times New Roman"/>
          <w:sz w:val="28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проверок Министерством соблюдения ими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</w:t>
      </w:r>
      <w:r>
        <w:rPr/>
        <w:br/>
      </w:r>
      <w:r>
        <w:rPr>
          <w:rFonts w:ascii="Times New Roman" w:hAnsi="Times New Roman"/>
          <w:sz w:val="28"/>
        </w:rPr>
        <w:t>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>Бюджетного кодекса Российской Федерации;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 за счет полученных средств иностранной валюты, за исключением операций, осуществляемых в соответствии</w:t>
      </w:r>
      <w:r>
        <w:rPr/>
        <w:br/>
      </w:r>
      <w:r>
        <w:rPr>
          <w:rFonts w:ascii="Times New Roman" w:hAnsi="Times New Roman"/>
          <w:sz w:val="28"/>
        </w:rPr>
        <w:t>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15. Размер субсидий, предоставляемых получателю субсидии, определяется в соответствии с заявкой, содержащей расчет потребности,</w:t>
        <w:br/>
        <w:t>не превышающей средства, определенные Законом Камчатского края о краевом бюджете на текущий финансовый год и на плановый период.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16. </w:t>
      </w:r>
      <w:r>
        <w:rPr>
          <w:rFonts w:ascii="Times New Roman" w:hAnsi="Times New Roman"/>
          <w:sz w:val="28"/>
        </w:rPr>
        <w:t>Министерство перечисляет субсидию на расчетный счет, открытый получателем субсидии в кредитной организации, реквизиты которого указаны</w:t>
      </w:r>
      <w:r>
        <w:rPr/>
        <w:br/>
      </w:r>
      <w:r>
        <w:rPr>
          <w:rFonts w:ascii="Times New Roman" w:hAnsi="Times New Roman"/>
          <w:sz w:val="28"/>
        </w:rPr>
        <w:t>в заявке на предоставление субсидии, не позднее 10-го рабочего дня, следующего за днем принятия в целях достижения результатов основного мероприятия Министерством решения о предоставлении субсидии.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 Субсидия носит целевой характер и не может быть использована</w:t>
        <w:br/>
        <w:t>на цели, не предусмотренные настоящим Порядком.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Субсидия предоставляется получателю субсидии в течение срока выполнения функций до </w:t>
      </w:r>
      <w:r>
        <w:rPr>
          <w:rFonts w:ascii="Times New Roman" w:hAnsi="Times New Roman"/>
          <w:sz w:val="28"/>
        </w:rPr>
        <w:t>31 декабря года, в котором предоставлена субсидия.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 Результатами предоставления субсидии по состоянию на 31 декабря года, в котором предоставлена субсидия, являются обеспечение достижения получателем субсидии следующих показателей: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количество заключенных соглашений с резидентами территории опережающего развития «Камчатка»;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объем инвестиций по соглашениям с резидентами территории опережающего развития «Камчатка»;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количество создаваемых рабочих мест по заявкам резидентов территории опережающего развития «Камчатка».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результатов устанавливаются Соглашением о предоставлении субсидии.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 Получатель субсидии предоставляет в Министерство на бумажном носителе и в электронном виде следующие отчеты: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 позднее 15 числа второго месяца, следующего за отчетным годом,</w:t>
        <w:br/>
        <w:t>в соответствии</w:t>
      </w:r>
      <w:r>
        <w:rPr>
          <w:rFonts w:ascii="Times New Roman" w:hAnsi="Times New Roman"/>
          <w:color w:val="000000" w:themeColor="text1"/>
          <w:sz w:val="28"/>
        </w:rPr>
        <w:t xml:space="preserve"> с типовыми формами соглашения, установленными Министерством финансов Камчатского края</w:t>
      </w:r>
      <w:r>
        <w:rPr>
          <w:rFonts w:ascii="Times New Roman" w:hAnsi="Times New Roman"/>
          <w:sz w:val="28"/>
        </w:rPr>
        <w:t>, отчет о достижении результата предоставления субсидии;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 15 числа, следующего за отчетным кварталом, отчет</w:t>
      </w:r>
      <w:r>
        <w:rPr/>
        <w:br/>
      </w:r>
      <w:r>
        <w:rPr>
          <w:rFonts w:ascii="Times New Roman" w:hAnsi="Times New Roman"/>
          <w:sz w:val="28"/>
        </w:rPr>
        <w:t>об осуществлении расходов, источником финансового обеспечения которых является субсидия, с приложением заверенных руководителем получателя субсидии и главным бухгалтером копий документов, подтверждающих целевое расходование субсидии.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вправе устанавливать в Соглашении сроки и формы представления получателем субсидии дополнительной отчетности.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 Министерство осуществляет в отношении получателя субсидии проверку соблюдения порядка и условий предоставления субсидии, в том числе в части достижения результата предоставления субсидии.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Органы государственного финансового контроля осуществляют проверку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 достижения результатов предоставления субсидии исходя</w:t>
        <w:br/>
        <w:t>из достижения значения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результатов предоставления субсидии (контрольная точка), в порядке и по формам, которые установлены Министерством финансов Российской Федерации, осуществляется Министерством и Министерством финансов Камчатского края.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21. </w:t>
      </w:r>
      <w:r>
        <w:rPr>
          <w:rFonts w:ascii="Times New Roman" w:hAnsi="Times New Roman"/>
          <w:sz w:val="28"/>
        </w:rPr>
        <w:t>В случае выявления, в том числе по фактам проверок, проведенных Министерством и (или) органами государственного финансового контроля, нарушения условий и порядка предоставления субсидии, а также в случае недостижения значений результатов, установленных в соглашении, получатель субсидии обязан возвратить денежные средства в краевой бюджет в следующем порядке и сроки: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1) 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 w:themeColor="text1"/>
          <w:sz w:val="28"/>
        </w:rPr>
        <w:t>и (или) предписании;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2) в случае выявления нарушения Министерством – в течение 20 рабочих дней со дня получения требования Министерства.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22. В случае нарушения условий и порядка предоставления субсидии,</w:t>
      </w:r>
      <w:r>
        <w:rPr/>
        <w:br/>
      </w:r>
      <w:r>
        <w:rPr>
          <w:rFonts w:ascii="Times New Roman" w:hAnsi="Times New Roman"/>
          <w:color w:val="000000" w:themeColor="text1"/>
          <w:sz w:val="28"/>
        </w:rPr>
        <w:t>а также в случае недостижения значений результатов предоставления субсидии, получатель субсидии обязан возвратить средства субсидии – в полном объеме.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23.  В случае возникновения обстоятельств, приводящих к невозможности достижения результатов в сроки, определенные Соглашением о предоставлении субсидии, получатель субсидии обязан во</w:t>
      </w:r>
      <w:r>
        <w:rPr>
          <w:rFonts w:ascii="Times New Roman" w:hAnsi="Times New Roman"/>
          <w:sz w:val="28"/>
        </w:rPr>
        <w:t>звратить средства субсидии в размере, определенном формулой: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18"/>
        </w:rPr>
        <w:t>возврата</w:t>
      </w:r>
      <w:r>
        <w:rPr>
          <w:rFonts w:ascii="Times New Roman" w:hAnsi="Times New Roman"/>
          <w:sz w:val="28"/>
        </w:rPr>
        <w:t xml:space="preserve"> = (V * k * m/n), где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подлежащий возврату;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 – размер субсидии, предоставленный получателю субсидии;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 – коэффициент возврата субсидии;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 – количество показателей результативности использования субсидии, по которым индекс, отражающий уровень недостижения значения i-го показателя результативности использования субсидии, имеет положительное значение (больше нуля);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 – общее количество показателей результативности использования субсидии.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расчете объема средств, подлежащих возврату получателем субсидий, в размере субсидии, предоставленной ему в отчетном финансовом году (V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>), не учитывается размер остатка субсидии, не использованного</w:t>
      </w:r>
      <w:r>
        <w:rPr/>
        <w:br/>
      </w:r>
      <w:r>
        <w:rPr>
          <w:rFonts w:ascii="Times New Roman" w:hAnsi="Times New Roman"/>
          <w:sz w:val="28"/>
        </w:rPr>
        <w:t>по состоянию на 1 января текущего финансового года.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Коэффициент возврата субсидии рассчитывается по формуле: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 = ƩDi/ m, где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индекс, отражающий уровень недостижения значения i-го показателя результативности использования субсидии.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расчете коэффициента возврата субсидии используются только положительные значения индекса, отражающего уровень недостижения значения i-го показателя результативности использования субсидии.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Индекс, отражающий уровень недостижения i-го показателя результативности использования субсидии, определяется: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для результатов использования субсидии, по которым большее значение фактически достигнутого значения отражает большую эффективность использования субсидии, по формуле:</w:t>
      </w:r>
    </w:p>
    <w:p>
      <w:pPr>
        <w:pStyle w:val="Normal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=1-T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/S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, где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фактически достигнутое значение i-го показателя результативности использования субсидии на отчетную дату;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плановое значение i-го показателя результативности использования субсидии, установленное соглашением о предоставлении субсидии;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результатов использования субсидии, по которым большее значение фактически достигнутого значения отражает меньшую эффективность использования субсидии, по формуле:</w:t>
      </w:r>
    </w:p>
    <w:p>
      <w:pPr>
        <w:pStyle w:val="Normal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=1- S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/T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24. </w:t>
      </w:r>
      <w:r>
        <w:rPr>
          <w:rFonts w:ascii="Times New Roman" w:hAnsi="Times New Roman"/>
          <w:sz w:val="28"/>
        </w:rPr>
        <w:t>Письменное требование о возврате субсидии направляется Министерством получателю субсидии в течение 10 рабочих дней со дня выявления нарушений, указанных в частях 21-23 настоящего Порядка, посредством заказного почтового отправления, или на адрес электронной почты, или иным способом, обеспечивающим подтверждение получения указанного требования получателем субсидии.</w:t>
      </w:r>
    </w:p>
    <w:p>
      <w:pPr>
        <w:pStyle w:val="Normal"/>
        <w:tabs>
          <w:tab w:val="clear" w:pos="708"/>
          <w:tab w:val="left" w:pos="568" w:leader="none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 Остатки неиспользованных в отчетном финансовом году средств субсидии могут использоваться получателем субсидии в очередном финансовом году на цели, указанные в части 1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 В случае отсутствия указанного решения остаток субсидии,</w:t>
      </w:r>
      <w:r>
        <w:rPr/>
        <w:br/>
      </w:r>
      <w:r>
        <w:rPr>
          <w:rFonts w:ascii="Times New Roman" w:hAnsi="Times New Roman"/>
          <w:sz w:val="28"/>
        </w:rPr>
        <w:t>неиспользованной в отчетном финансовом году, подлежит возврату в краевой бюджет не позднее 15 февраля очередного финансового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 При невозврате средств субсидии в сроки, установленные частью 21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субсидии, лицами, получившими средства на основании договоров, заключенных с получателем субсидии, обязанности возвратить денежные средства в краевой бюджет.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/>
      </w:r>
    </w:p>
    <w:sectPr>
      <w:headerReference w:type="default" r:id="rId3"/>
      <w:type w:val="nextPage"/>
      <w:pgSz w:w="11906" w:h="16838"/>
      <w:pgMar w:left="1418" w:right="851" w:gutter="0" w:header="709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0" distT="0" distB="0" distL="0" distR="0" simplePos="0" locked="0" layoutInCell="0" allowOverlap="1" relativeHeight="2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9545"/>
              <wp:effectExtent l="0" t="635" r="0" b="0"/>
              <wp:wrapSquare wrapText="bothSides"/>
              <wp:docPr id="2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35.3pt;margin-top:0.05pt;width:11.15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9545"/>
              <wp:effectExtent l="0" t="0" r="0" b="0"/>
              <wp:wrapSquare wrapText="bothSides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235.3pt;margin-top:0.05pt;width:11.15pt;height:13.3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 Light" w:hAnsi="Calibri Light" w:eastAsia="Tahoma" w:cs="Lohit Devanagari" w:asciiTheme="majorAscii" w:hAnsiTheme="majorHAnsi"/>
      <w:color w:val="2E75B5" w:themeColor="accent1" w:themeShade="bf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basedOn w:val="Normal"/>
    <w:next w:val="Normal"/>
    <w:uiPriority w:val="9"/>
    <w:qFormat/>
    <w:pPr>
      <w:keepNext w:val="true"/>
      <w:keepLines/>
      <w:spacing w:before="40" w:after="0"/>
      <w:outlineLvl w:val="1"/>
    </w:pPr>
    <w:rPr>
      <w:rFonts w:ascii="Calibri Light" w:hAnsi="Calibri Light" w:asciiTheme="majorAscii" w:hAnsiTheme="majorHAnsi"/>
      <w:color w:val="2E75B5" w:themeColor="accent1" w:themeShade="bf"/>
      <w:sz w:val="26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Contents21"/>
    <w:qFormat/>
    <w:rPr>
      <w:rFonts w:ascii="XO Thames" w:hAnsi="XO Thames"/>
      <w:sz w:val="28"/>
    </w:rPr>
  </w:style>
  <w:style w:type="character" w:styleId="Contents4">
    <w:name w:val="Contents 4"/>
    <w:link w:val="Contents41"/>
    <w:qFormat/>
    <w:rPr>
      <w:rFonts w:ascii="XO Thames" w:hAnsi="XO Thames"/>
      <w:sz w:val="28"/>
    </w:rPr>
  </w:style>
  <w:style w:type="character" w:styleId="Contents6">
    <w:name w:val="Contents 6"/>
    <w:link w:val="Contents61"/>
    <w:qFormat/>
    <w:rPr>
      <w:rFonts w:ascii="XO Thames" w:hAnsi="XO Thames"/>
      <w:sz w:val="28"/>
    </w:rPr>
  </w:style>
  <w:style w:type="character" w:styleId="Contents7">
    <w:name w:val="Contents 7"/>
    <w:link w:val="Contents71"/>
    <w:qFormat/>
    <w:rPr>
      <w:rFonts w:ascii="XO Thames" w:hAnsi="XO Thames"/>
      <w:sz w:val="28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Heading4">
    <w:name w:val="Heading 4"/>
    <w:qFormat/>
    <w:rPr>
      <w:rFonts w:ascii="XO Thames" w:hAnsi="XO Thames"/>
      <w:b/>
      <w:color w:val="000000"/>
      <w:spacing w:val="0"/>
      <w:sz w:val="24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ListParagraph">
    <w:name w:val="List Paragraph"/>
    <w:link w:val="ListParagraph1"/>
    <w:qFormat/>
    <w:rPr/>
  </w:style>
  <w:style w:type="character" w:styleId="Heading2">
    <w:name w:val="Heading 2"/>
    <w:qFormat/>
    <w:rPr>
      <w:rFonts w:ascii="Calibri Light" w:hAnsi="Calibri Light" w:asciiTheme="majorAscii" w:hAnsiTheme="majorHAnsi"/>
      <w:color w:val="2E75B5" w:themeColor="accent1" w:themeShade="bf"/>
      <w:sz w:val="26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Heading5">
    <w:name w:val="Heading 5"/>
    <w:qFormat/>
    <w:rPr>
      <w:rFonts w:ascii="XO Thames" w:hAnsi="XO Thames"/>
      <w:b/>
      <w:color w:val="000000"/>
      <w:spacing w:val="0"/>
      <w:sz w:val="22"/>
    </w:rPr>
  </w:style>
  <w:style w:type="character" w:styleId="PlaceholderText">
    <w:name w:val="Placeholder Text"/>
    <w:basedOn w:val="DefaultParagraphFont"/>
    <w:link w:val="PlaceholderText1"/>
    <w:qFormat/>
    <w:rPr>
      <w:color w:val="808080"/>
    </w:rPr>
  </w:style>
  <w:style w:type="character" w:styleId="Contents3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Header">
    <w:name w:val="Header"/>
    <w:qFormat/>
    <w:rPr/>
  </w:style>
  <w:style w:type="character" w:styleId="Internetlink">
    <w:name w:val="Internet link"/>
    <w:basedOn w:val="DefaultParagraphFont"/>
    <w:link w:val="Internetlink1"/>
    <w:qFormat/>
    <w:rPr>
      <w:color w:val="0563C1" w:themeColor="hyperlink"/>
      <w:u w:val="single"/>
    </w:rPr>
  </w:style>
  <w:style w:type="character" w:styleId="Style9">
    <w:name w:val="Указатель"/>
    <w:link w:val="Style18"/>
    <w:qFormat/>
    <w:rPr/>
  </w:style>
  <w:style w:type="character" w:styleId="Heading1">
    <w:name w:val="Heading 1"/>
    <w:qFormat/>
    <w:rPr>
      <w:rFonts w:ascii="Calibri Light" w:hAnsi="Calibri Light" w:asciiTheme="majorAscii" w:hAnsiTheme="majorHAnsi"/>
      <w:color w:val="2E75B5" w:themeColor="accent1" w:themeShade="bf"/>
      <w:sz w:val="32"/>
    </w:rPr>
  </w:style>
  <w:style w:type="character" w:styleId="Textbody">
    <w:name w:val="Text body"/>
    <w:qFormat/>
    <w:rPr/>
  </w:style>
  <w:style w:type="character" w:styleId="Style10">
    <w:name w:val="Hyperlink"/>
    <w:basedOn w:val="DefaultParagraphFont"/>
    <w:rPr>
      <w:color w:val="0563C1" w:themeColor="hyperlink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Contents9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Style11">
    <w:name w:val="Колонтитул"/>
    <w:link w:val="Style20"/>
    <w:qFormat/>
    <w:rPr>
      <w:rFonts w:ascii="XO Thames" w:hAnsi="XO Thames"/>
      <w:color w:val="000000"/>
      <w:spacing w:val="0"/>
      <w:sz w:val="20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Style12">
    <w:name w:val="Содержимое врезки"/>
    <w:link w:val="Style22"/>
    <w:qFormat/>
    <w:rPr/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8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List">
    <w:name w:val="List"/>
    <w:basedOn w:val="Textbody"/>
    <w:qFormat/>
    <w:rPr/>
  </w:style>
  <w:style w:type="character" w:styleId="Caption">
    <w:name w:val="Caption"/>
    <w:qFormat/>
    <w:rPr>
      <w:i/>
      <w:sz w:val="24"/>
    </w:rPr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Subtitle">
    <w:name w:val="Subtitle"/>
    <w:qFormat/>
    <w:rPr>
      <w:rFonts w:ascii="XO Thames" w:hAnsi="XO Thames"/>
      <w:i/>
      <w:color w:val="000000"/>
      <w:spacing w:val="0"/>
      <w:sz w:val="24"/>
    </w:rPr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Style13">
    <w:name w:val="Заголовок"/>
    <w:link w:val="Style14"/>
    <w:qFormat/>
    <w:rPr>
      <w:rFonts w:ascii="Open Sans" w:hAnsi="Open Sans"/>
      <w:sz w:val="28"/>
    </w:rPr>
  </w:style>
  <w:style w:type="paragraph" w:styleId="Style14">
    <w:name w:val="Заголовок"/>
    <w:basedOn w:val="Normal"/>
    <w:next w:val="Style15"/>
    <w:link w:val="Style13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pacing w:before="120" w:after="120"/>
    </w:pPr>
    <w:rPr>
      <w:i/>
      <w:sz w:val="24"/>
    </w:rPr>
  </w:style>
  <w:style w:type="paragraph" w:styleId="Style18">
    <w:name w:val="Указатель"/>
    <w:basedOn w:val="Normal"/>
    <w:link w:val="Style9"/>
    <w:qFormat/>
    <w:pPr/>
    <w:rPr/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9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ListParagraph1">
    <w:name w:val="List Paragraph"/>
    <w:basedOn w:val="Normal"/>
    <w:link w:val="ListParagraph"/>
    <w:qFormat/>
    <w:pPr>
      <w:spacing w:before="0" w:after="160"/>
      <w:ind w:left="720" w:right="0" w:hanging="0"/>
      <w:contextualSpacing/>
    </w:pPr>
    <w:rPr/>
  </w:style>
  <w:style w:type="paragraph" w:styleId="Contents21">
    <w:name w:val="Contents 2"/>
    <w:link w:val="Contents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">
    <w:name w:val="Contents 1"/>
    <w:link w:val="Contents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PlaceholderText1">
    <w:name w:val="Placeholder Text"/>
    <w:basedOn w:val="DefaultParagraphFont1"/>
    <w:link w:val="PlaceholderText"/>
    <w:qFormat/>
    <w:pPr/>
    <w:rPr>
      <w:color w:val="808080"/>
    </w:rPr>
  </w:style>
  <w:style w:type="paragraph" w:styleId="Contents31">
    <w:name w:val="Contents 3"/>
    <w:link w:val="Contents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0">
    <w:name w:val="Колонтитул"/>
    <w:link w:val="Style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1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"/>
    <w:basedOn w:val="DefaultParagraphFont1"/>
    <w:link w:val="Internetlink"/>
    <w:qFormat/>
    <w:pPr/>
    <w:rPr>
      <w:color w:val="0563C1" w:themeColor="hyperlink"/>
      <w:u w:val="single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1">
    <w:name w:val="Contents 9"/>
    <w:link w:val="Contents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2">
    <w:name w:val="Содержимое врезки"/>
    <w:basedOn w:val="Normal"/>
    <w:link w:val="Style12"/>
    <w:qFormat/>
    <w:pPr/>
    <w:rPr/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Contents 8"/>
    <w:link w:val="Contents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Contents 7"/>
    <w:link w:val="Contents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">
    <w:name w:val="Contents 5"/>
    <w:link w:val="Contents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Contents 6"/>
    <w:link w:val="Contents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Style23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left="0" w:right="0" w:hanging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24">
    <w:name w:val="Footer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"/>
    <w:link w:val="Contents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table" w:styleId="Style_56">
    <w:name w:val="Сетка таблицы1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4">
    <w:name w:val="Table Grid"/>
    <w:basedOn w:val="Style_3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57">
    <w:name w:val="Сетка таблицы2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Application>LibreOffice/7.4.2.3$Linux_X86_64 LibreOffice_project/40$Build-3</Application>
  <AppVersion>15.0000</AppVersion>
  <Pages>12</Pages>
  <Words>2937</Words>
  <Characters>22163</Characters>
  <CharactersWithSpaces>24999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2023-04-18T11:56:09Z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