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62" w:rsidRDefault="00B32DF5" w:rsidP="00FB3D62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D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Министерства культуры РФ от 25 февраля 2015 г. № 288 “Об утверждении показателей, характеризующих общие критерии оценки качества оказания услуг организациями культуры” </w:t>
      </w:r>
    </w:p>
    <w:p w:rsidR="00B32DF5" w:rsidRPr="00B32DF5" w:rsidRDefault="00B32DF5" w:rsidP="00FB3D62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 2015</w:t>
      </w:r>
    </w:p>
    <w:p w:rsidR="00B32DF5" w:rsidRPr="00B32DF5" w:rsidRDefault="00B32DF5" w:rsidP="00B32DF5">
      <w:pPr>
        <w:shd w:val="clear" w:color="auto" w:fill="FFFFFF"/>
        <w:spacing w:after="255" w:line="25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0"/>
      <w:bookmarkEnd w:id="1"/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36.1 Закона Российской Федерации от 9 октября 1992 г. № 3612-1 «Основы 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 46, ст. 2615; Собрание законодательства Российской Федерации, 1999, № 26, ст. 3172; 2001, № 1, ст. 2; № 53, ст. 5030; </w:t>
      </w:r>
      <w:proofErr w:type="gramStart"/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>2002, № 52, ст. 5132; 2003, № 52, ст. 5038; 2004, № 35, ст. 3607; 2006, № 1, ст. 10; № 45, ст. 4627; 2007, № 1, ст. 21; 2008, № 30, ст. 3616; 2009, № 52 ст. 6411; 2010, № 19, ст. 2291; 2013, № 17, ст. 2030; № 27, ст. 3477; № 40, ст. 5035; 2014, № 19, ст. 2307; № 30, ст. 4217;</w:t>
      </w:r>
      <w:proofErr w:type="gramEnd"/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>30, ст. 4257; № 49, ст. 6928) приказываю:</w:t>
      </w:r>
      <w:proofErr w:type="gramEnd"/>
    </w:p>
    <w:p w:rsidR="00B32DF5" w:rsidRPr="00B32DF5" w:rsidRDefault="00B32DF5" w:rsidP="00B32DF5">
      <w:pPr>
        <w:shd w:val="clear" w:color="auto" w:fill="FFFFFF"/>
        <w:spacing w:after="255" w:line="25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прилагаемые </w:t>
      </w:r>
      <w:hyperlink r:id="rId9" w:anchor="2" w:history="1">
        <w:r w:rsidRPr="00B32DF5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</w:rPr>
          <w:t>показатели</w:t>
        </w:r>
      </w:hyperlink>
      <w:r w:rsidRPr="00B32DF5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характеризующие общие критерии оценки качества оказания услуг организациями культуры.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958"/>
      </w:tblGrid>
      <w:tr w:rsidR="00B32DF5" w:rsidRPr="00B32DF5" w:rsidTr="00B32DF5">
        <w:tc>
          <w:tcPr>
            <w:tcW w:w="2500" w:type="pct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2D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2D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В.Р. </w:t>
            </w:r>
            <w:proofErr w:type="spellStart"/>
            <w:r w:rsidRPr="00B32D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Мединский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B32DF5" w:rsidRPr="00B32DF5" w:rsidTr="00B32DF5">
        <w:tc>
          <w:tcPr>
            <w:tcW w:w="2500" w:type="pct"/>
          </w:tcPr>
          <w:p w:rsidR="00B32DF5" w:rsidRPr="00B32DF5" w:rsidRDefault="00B32DF5" w:rsidP="00B3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2DF5" w:rsidRPr="00B32DF5" w:rsidRDefault="00B32DF5" w:rsidP="00B3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32DF5" w:rsidRDefault="00B32DF5" w:rsidP="00B32D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  <w:sectPr w:rsidR="00B32DF5" w:rsidSect="00B32DF5">
          <w:headerReference w:type="default" r:id="rId10"/>
          <w:pgSz w:w="11906" w:h="16838"/>
          <w:pgMar w:top="1134" w:right="851" w:bottom="1134" w:left="992" w:header="709" w:footer="709" w:gutter="0"/>
          <w:cols w:space="708"/>
          <w:titlePg/>
          <w:docGrid w:linePitch="360"/>
        </w:sectPr>
      </w:pPr>
    </w:p>
    <w:p w:rsidR="00B32DF5" w:rsidRDefault="00B32DF5" w:rsidP="00D175A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B32DF5" w:rsidRDefault="00B32DF5" w:rsidP="00D175A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sectPr w:rsidR="00B32DF5" w:rsidSect="00B32DF5">
          <w:pgSz w:w="16838" w:h="11906" w:orient="landscape"/>
          <w:pgMar w:top="851" w:right="1134" w:bottom="992" w:left="1134" w:header="709" w:footer="709" w:gutter="0"/>
          <w:cols w:space="708"/>
          <w:titlePg/>
          <w:docGrid w:linePitch="360"/>
        </w:sectPr>
      </w:pPr>
    </w:p>
    <w:p w:rsidR="00B32DF5" w:rsidRDefault="00B32DF5" w:rsidP="00D175A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D175A2" w:rsidRDefault="00D175A2" w:rsidP="00D175A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C72E5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ТВЕРЖДЕНЫ</w:t>
      </w:r>
    </w:p>
    <w:p w:rsidR="00D175A2" w:rsidRDefault="00D175A2" w:rsidP="00D175A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C72E5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приказом Минкультуры России</w:t>
      </w:r>
    </w:p>
    <w:p w:rsidR="00D175A2" w:rsidRPr="00C72E56" w:rsidRDefault="00D175A2" w:rsidP="00D175A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C72E5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от «</w:t>
      </w:r>
      <w:r w:rsidRPr="00C72E56"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</w:rPr>
        <w:t xml:space="preserve">      »                   </w:t>
      </w:r>
      <w:r w:rsidRPr="00C72E5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2015г. № ______</w:t>
      </w:r>
    </w:p>
    <w:p w:rsidR="00D175A2" w:rsidRDefault="00D175A2" w:rsidP="007B4DE2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B4DE2" w:rsidRPr="00B775AD" w:rsidRDefault="007B4DE2" w:rsidP="007B4DE2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B775A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Показатели, характеризующие общие критерии оценки качества</w:t>
      </w:r>
      <w:r w:rsidRPr="00B775A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br/>
        <w:t>оказания услуг организациями культуры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706"/>
        <w:gridCol w:w="4913"/>
        <w:gridCol w:w="2309"/>
        <w:gridCol w:w="2777"/>
        <w:gridCol w:w="4287"/>
      </w:tblGrid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C308AC" w:rsidRPr="00B775AD" w:rsidRDefault="00C308AC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13" w:type="dxa"/>
            <w:vAlign w:val="center"/>
          </w:tcPr>
          <w:p w:rsidR="00C308AC" w:rsidRPr="00B775AD" w:rsidRDefault="00C308AC" w:rsidP="004D5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09" w:type="dxa"/>
            <w:vAlign w:val="center"/>
          </w:tcPr>
          <w:p w:rsidR="00C308AC" w:rsidRPr="00B775AD" w:rsidRDefault="00C308AC" w:rsidP="004D5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 (значение показателя)</w:t>
            </w:r>
          </w:p>
        </w:tc>
        <w:tc>
          <w:tcPr>
            <w:tcW w:w="2777" w:type="dxa"/>
            <w:vAlign w:val="center"/>
          </w:tcPr>
          <w:p w:rsidR="00C308AC" w:rsidRPr="00B775AD" w:rsidRDefault="00C308AC" w:rsidP="00813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813A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</w:tc>
        <w:tc>
          <w:tcPr>
            <w:tcW w:w="4287" w:type="dxa"/>
            <w:vAlign w:val="center"/>
          </w:tcPr>
          <w:p w:rsidR="00C308AC" w:rsidRPr="00B775AD" w:rsidRDefault="00C308AC" w:rsidP="004D5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оценки</w:t>
            </w:r>
          </w:p>
        </w:tc>
      </w:tr>
      <w:tr w:rsidR="00C308AC" w:rsidRPr="00B775AD" w:rsidTr="00164C81">
        <w:trPr>
          <w:cantSplit/>
          <w:trHeight w:val="471"/>
          <w:jc w:val="center"/>
        </w:trPr>
        <w:tc>
          <w:tcPr>
            <w:tcW w:w="706" w:type="dxa"/>
            <w:vAlign w:val="center"/>
          </w:tcPr>
          <w:p w:rsidR="00C308AC" w:rsidRPr="00B775AD" w:rsidRDefault="00C308AC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86" w:type="dxa"/>
            <w:gridSpan w:val="4"/>
            <w:vAlign w:val="center"/>
          </w:tcPr>
          <w:p w:rsidR="00C308AC" w:rsidRPr="00B775AD" w:rsidRDefault="000565B6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C308AC" w:rsidRPr="00B77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ткрытость и доступность информации об организации культуры</w:t>
            </w:r>
            <w:r w:rsidR="00D053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(от 0 до 32)</w:t>
            </w:r>
          </w:p>
        </w:tc>
      </w:tr>
      <w:tr w:rsidR="00B775AD" w:rsidRPr="00B775AD" w:rsidTr="0015778E">
        <w:trPr>
          <w:cantSplit/>
          <w:trHeight w:val="2425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13" w:type="dxa"/>
            <w:vAlign w:val="center"/>
          </w:tcPr>
          <w:p w:rsidR="00C516DD" w:rsidRPr="00C516DD" w:rsidRDefault="00B775AD" w:rsidP="00C516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</w:t>
            </w:r>
            <w:r w:rsidR="00303C75"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сокращенное </w:t>
            </w:r>
            <w:r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B70979" w:rsidRPr="00B7097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 w:rsidR="00B7097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70979" w:rsidRPr="00B70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  <w:r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D58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нахождения, </w:t>
            </w:r>
            <w:proofErr w:type="gramStart"/>
            <w:r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>почтовый</w:t>
            </w:r>
            <w:proofErr w:type="gramEnd"/>
            <w:r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адрес, схема</w:t>
            </w:r>
            <w:r w:rsidR="00C50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проезда</w:t>
            </w:r>
            <w:r w:rsidRPr="00F20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адрес электронной почты, </w:t>
            </w:r>
            <w:r w:rsidR="005640B1" w:rsidRPr="005640B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организации культуры,</w:t>
            </w:r>
            <w:r w:rsidR="00564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16DD" w:rsidRPr="00C516DD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учредителе (учредителях)</w:t>
            </w:r>
            <w:r w:rsidR="00950C9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775AD" w:rsidRPr="00F20F0E" w:rsidRDefault="00C516DD" w:rsidP="00751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D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B70979" w:rsidRPr="00B709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культуры </w:t>
            </w:r>
          </w:p>
        </w:tc>
        <w:tc>
          <w:tcPr>
            <w:tcW w:w="4287" w:type="dxa"/>
            <w:vAlign w:val="center"/>
          </w:tcPr>
          <w:p w:rsidR="00B775AD" w:rsidRPr="00B775AD" w:rsidRDefault="00866B07" w:rsidP="009C05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B775AD"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информации на официальном сайте </w:t>
            </w:r>
            <w:r w:rsidR="00C50A0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 w:rsidR="009C05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50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  <w:r w:rsidR="00FC1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16E1" w:rsidRPr="00B775AD" w:rsidTr="0015778E">
        <w:trPr>
          <w:cantSplit/>
          <w:trHeight w:val="1836"/>
          <w:jc w:val="center"/>
        </w:trPr>
        <w:tc>
          <w:tcPr>
            <w:tcW w:w="706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13" w:type="dxa"/>
            <w:vAlign w:val="center"/>
          </w:tcPr>
          <w:p w:rsidR="00FC16E1" w:rsidRPr="00B775AD" w:rsidRDefault="00FC16E1" w:rsidP="009C0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к оказываемым услугам (стандарты, регламенты, описание предоставляемых услуг), материально-техническое </w:t>
            </w:r>
            <w:r w:rsidR="00B7097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</w:t>
            </w: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05D6" w:rsidRPr="009C05D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B70979" w:rsidRPr="00B70979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B70979" w:rsidP="009C05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79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информации на официальном сайте организаци</w:t>
            </w:r>
            <w:r w:rsidR="009C05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70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FC16E1" w:rsidRPr="00B775AD" w:rsidTr="0015778E">
        <w:trPr>
          <w:cantSplit/>
          <w:trHeight w:val="2011"/>
          <w:jc w:val="center"/>
        </w:trPr>
        <w:tc>
          <w:tcPr>
            <w:tcW w:w="706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913" w:type="dxa"/>
            <w:vAlign w:val="center"/>
          </w:tcPr>
          <w:p w:rsidR="00FC16E1" w:rsidRPr="00B775AD" w:rsidRDefault="00FC16E1" w:rsidP="009C0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выполнении государственного/ муниципального задания, отчет о результатах деятельности </w:t>
            </w:r>
            <w:r w:rsidR="009C05D6" w:rsidRPr="009C05D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B70979" w:rsidRPr="00B70979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B70979" w:rsidP="009C05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79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информации на официальном сайте организаци</w:t>
            </w:r>
            <w:r w:rsidR="009C05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70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B775AD" w:rsidRPr="00B775AD" w:rsidTr="0015778E">
        <w:trPr>
          <w:cantSplit/>
          <w:trHeight w:val="1880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  <w:vAlign w:val="center"/>
          </w:tcPr>
          <w:p w:rsidR="00B775AD" w:rsidRDefault="00B775AD" w:rsidP="009C0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 предстоящих выставках и экспозициях </w:t>
            </w:r>
            <w:r w:rsidR="009C05D6" w:rsidRPr="009C05D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культуры</w:t>
            </w:r>
            <w:r w:rsidR="00164C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4C81" w:rsidRPr="00B775AD" w:rsidRDefault="00164C81" w:rsidP="009C0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C81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экскурсии по 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CA593E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775AD"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узеи</w:t>
            </w:r>
          </w:p>
        </w:tc>
        <w:tc>
          <w:tcPr>
            <w:tcW w:w="4287" w:type="dxa"/>
            <w:vAlign w:val="center"/>
          </w:tcPr>
          <w:p w:rsidR="00B775AD" w:rsidRPr="00B775AD" w:rsidRDefault="00676860" w:rsidP="00B775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775AD"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зучение мнения получателей услуг</w:t>
            </w:r>
          </w:p>
        </w:tc>
      </w:tr>
      <w:tr w:rsidR="00B775AD" w:rsidRPr="00B775AD" w:rsidTr="0015778E">
        <w:trPr>
          <w:cantSplit/>
          <w:trHeight w:val="826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предстоящих представлениях и постановках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CA593E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75AD" w:rsidRPr="00B775AD">
              <w:rPr>
                <w:rFonts w:ascii="Times New Roman" w:hAnsi="Times New Roman" w:cs="Times New Roman"/>
                <w:sz w:val="28"/>
                <w:szCs w:val="28"/>
              </w:rPr>
              <w:t>еатры</w:t>
            </w:r>
          </w:p>
        </w:tc>
        <w:tc>
          <w:tcPr>
            <w:tcW w:w="4287" w:type="dxa"/>
            <w:vAlign w:val="center"/>
          </w:tcPr>
          <w:p w:rsidR="00B775AD" w:rsidRPr="00B775AD" w:rsidRDefault="00676860" w:rsidP="00B775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775AD"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зучение мнения получателей услуг</w:t>
            </w:r>
          </w:p>
        </w:tc>
      </w:tr>
      <w:tr w:rsidR="00B775AD" w:rsidRPr="00B775AD" w:rsidTr="0015778E">
        <w:trPr>
          <w:cantSplit/>
          <w:trHeight w:val="1175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D93C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новых мероприятиях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81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культурно-досуговые </w:t>
            </w:r>
            <w:r w:rsidR="00813A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287" w:type="dxa"/>
            <w:vAlign w:val="center"/>
          </w:tcPr>
          <w:p w:rsidR="00B775AD" w:rsidRPr="00B775AD" w:rsidRDefault="00676860" w:rsidP="00B775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775AD"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зучение мнения получателей услуг</w:t>
            </w:r>
          </w:p>
        </w:tc>
      </w:tr>
      <w:tr w:rsidR="00CE4EF6" w:rsidRPr="00B775AD" w:rsidTr="0015778E">
        <w:trPr>
          <w:cantSplit/>
          <w:trHeight w:val="609"/>
          <w:jc w:val="center"/>
        </w:trPr>
        <w:tc>
          <w:tcPr>
            <w:tcW w:w="706" w:type="dxa"/>
            <w:vAlign w:val="center"/>
          </w:tcPr>
          <w:p w:rsidR="00CE4EF6" w:rsidRPr="00B775AD" w:rsidRDefault="00CE4EF6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86" w:type="dxa"/>
            <w:gridSpan w:val="4"/>
            <w:vAlign w:val="center"/>
          </w:tcPr>
          <w:p w:rsidR="00CE4EF6" w:rsidRPr="00B775AD" w:rsidRDefault="00CE4EF6" w:rsidP="009C05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Комфортность условий предоставления услуг и доступность их получения</w:t>
            </w:r>
            <w:r w:rsidR="00D053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(от 0 до 38)</w:t>
            </w:r>
          </w:p>
        </w:tc>
      </w:tr>
      <w:tr w:rsidR="00B775AD" w:rsidRPr="00B775AD" w:rsidTr="0015778E">
        <w:trPr>
          <w:cantSplit/>
          <w:trHeight w:val="1690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AE1D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комфортности пребывания в </w:t>
            </w:r>
            <w:r w:rsidR="00A86A54" w:rsidRP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культуры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(места для сидения, гардероб, чистота помещений и т</w:t>
            </w:r>
            <w:r w:rsidR="00AE1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далее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A86A54" w:rsidRPr="00A86A54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FC16E1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913" w:type="dxa"/>
            <w:vAlign w:val="center"/>
          </w:tcPr>
          <w:p w:rsidR="00FC16E1" w:rsidRPr="00B775AD" w:rsidRDefault="00FC16E1" w:rsidP="00813A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услуг, </w:t>
            </w:r>
            <w:r w:rsid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предоставляемых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6A54" w:rsidRP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</w:t>
            </w:r>
            <w:r w:rsid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="00A86A54" w:rsidRP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Ограничения по ассортименту услуг, ограничения по потребителям услуг. Дополнительные услуги, </w:t>
            </w:r>
            <w:r w:rsidR="00813AD2" w:rsidRP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предоставляемы</w:t>
            </w:r>
            <w:r w:rsid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13AD2" w:rsidRP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5816" w:rsidRPr="004D5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</w:t>
            </w:r>
            <w:r w:rsidR="004D5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4D5816" w:rsidRPr="004D5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Услуги, </w:t>
            </w:r>
            <w:r w:rsid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предоставляемые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платной основе. Стоимость услуг. Предоставляемые льготы. Условия предоставления льгот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A86A54" w:rsidRPr="00A86A54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FC16E1" w:rsidP="009C05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информации на официальном сайте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 w:rsidR="009C05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</w:t>
            </w:r>
          </w:p>
        </w:tc>
      </w:tr>
      <w:tr w:rsidR="00FC16E1" w:rsidRPr="00B775AD" w:rsidTr="00F20F0E">
        <w:trPr>
          <w:jc w:val="center"/>
        </w:trPr>
        <w:tc>
          <w:tcPr>
            <w:tcW w:w="706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13" w:type="dxa"/>
            <w:vAlign w:val="center"/>
          </w:tcPr>
          <w:p w:rsidR="00FC16E1" w:rsidRDefault="00FC16E1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возможности навигации по сайту при отключении графиче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элементов оформления сайта, карта сайта.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доступности информации с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четом перерывов в работе сайта.</w:t>
            </w:r>
          </w:p>
          <w:p w:rsidR="00093633" w:rsidRDefault="00FC16E1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независимой системы учета посещений сайта.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6A54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Раскрытие </w:t>
            </w:r>
            <w:proofErr w:type="gramStart"/>
            <w:r w:rsidR="00A86A54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 независимой системы учета посещений сайта</w:t>
            </w:r>
            <w:proofErr w:type="gramEnd"/>
            <w:r w:rsidR="00A86A54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встроенной системы контекстного поиска по сайту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Бесплатность</w:t>
            </w:r>
            <w:r w:rsidR="00056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доступность информации</w:t>
            </w:r>
            <w:r w:rsid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сайте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отображения, форматирования или иных дефектов</w:t>
            </w:r>
            <w:r w:rsidR="0081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информации на сайте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Пакеты открытых данных </w:t>
            </w:r>
            <w:r w:rsidR="00A86A54" w:rsidRP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Доступ к электронным базам данных </w:t>
            </w:r>
            <w:r w:rsidR="00A86A54" w:rsidRP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Дата и время размещения информации. </w:t>
            </w:r>
          </w:p>
          <w:p w:rsidR="00FC16E1" w:rsidRPr="00B775AD" w:rsidRDefault="00A86A54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Любой документ или информация должна быть доступна не более чем за 2 перехода по сайту с использованием меню навигации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A86A54" w:rsidRPr="00A86A54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FC16E1" w:rsidP="00A86A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информации на официальном сайте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 w:rsidR="00A86A5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</w:t>
            </w:r>
          </w:p>
        </w:tc>
      </w:tr>
      <w:tr w:rsidR="00B775AD" w:rsidRPr="00B775AD" w:rsidTr="00556966">
        <w:trPr>
          <w:cantSplit/>
          <w:trHeight w:val="1932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2370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дополнительных услуг </w:t>
            </w:r>
            <w:r w:rsidR="00A86A54" w:rsidRPr="00A8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культуры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(места общественного питания, проведение интерактивных игр, театрализованных мероприятий, </w:t>
            </w:r>
            <w:r w:rsidR="00C71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аудиогид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</w:t>
            </w:r>
            <w:r w:rsidR="0023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очее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15778E">
        <w:trPr>
          <w:cantSplit/>
          <w:trHeight w:val="1102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3" w:type="dxa"/>
            <w:vAlign w:val="center"/>
          </w:tcPr>
          <w:p w:rsidR="00B775AD" w:rsidRPr="00B775AD" w:rsidRDefault="00485651" w:rsidP="004856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775AD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 (доступность цены на оказываемые услуги, её соответствие качеству услуги)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0565B6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15778E">
        <w:trPr>
          <w:cantSplit/>
          <w:trHeight w:val="2394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3" w:type="dxa"/>
            <w:vAlign w:val="center"/>
          </w:tcPr>
          <w:p w:rsidR="00B775AD" w:rsidRPr="00B775AD" w:rsidRDefault="00485651" w:rsidP="004856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775AD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тоимост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775AD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дополнительных услуг (ксерокопирование, заказ книги в другой библиотеке, информирование о возврате нужной книги, возможность отложить книгу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5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качеству услуги</w:t>
            </w:r>
            <w:r w:rsidR="00B775AD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15778E">
        <w:trPr>
          <w:cantSplit/>
          <w:trHeight w:val="1688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2370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(охрана, медицинское сопровождение, техника безопасности, средства защиты и пр</w:t>
            </w:r>
            <w:r w:rsidR="0023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очее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0565B6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CE4EF6" w:rsidRPr="00B775AD" w:rsidTr="00556966">
        <w:trPr>
          <w:cantSplit/>
          <w:trHeight w:val="573"/>
          <w:jc w:val="center"/>
        </w:trPr>
        <w:tc>
          <w:tcPr>
            <w:tcW w:w="706" w:type="dxa"/>
            <w:vAlign w:val="center"/>
          </w:tcPr>
          <w:p w:rsidR="00CE4EF6" w:rsidRPr="00B775AD" w:rsidRDefault="00CE4EF6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286" w:type="dxa"/>
            <w:gridSpan w:val="4"/>
            <w:vAlign w:val="center"/>
          </w:tcPr>
          <w:p w:rsidR="00CE4EF6" w:rsidRPr="00B775AD" w:rsidRDefault="00CE4EF6" w:rsidP="009C05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ожидания предоставления услуги</w:t>
            </w:r>
            <w:r w:rsidR="00D053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(от 0 до 27)</w:t>
            </w:r>
          </w:p>
        </w:tc>
      </w:tr>
      <w:tr w:rsidR="00FC16E1" w:rsidRPr="00B775AD" w:rsidTr="0015778E">
        <w:trPr>
          <w:cantSplit/>
          <w:trHeight w:val="1423"/>
          <w:jc w:val="center"/>
        </w:trPr>
        <w:tc>
          <w:tcPr>
            <w:tcW w:w="706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13" w:type="dxa"/>
            <w:vAlign w:val="center"/>
          </w:tcPr>
          <w:p w:rsidR="00FC16E1" w:rsidRPr="00B775AD" w:rsidRDefault="00FC16E1" w:rsidP="00164C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билет </w:t>
            </w:r>
            <w:r w:rsidR="00E8201A" w:rsidRPr="00E82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культуры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/возможность бронирования билетов/электронная очередь. 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0565B6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FC16E1" w:rsidP="00093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информации на официальном сайте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 w:rsidR="0009363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</w:t>
            </w:r>
          </w:p>
        </w:tc>
      </w:tr>
      <w:tr w:rsidR="00B775AD" w:rsidRPr="00B775AD" w:rsidTr="0015778E">
        <w:trPr>
          <w:cantSplit/>
          <w:trHeight w:val="986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Транспортная и пешая доступность </w:t>
            </w:r>
            <w:r w:rsidR="00E8201A" w:rsidRPr="00E82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0565B6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15778E">
        <w:trPr>
          <w:cantSplit/>
          <w:trHeight w:val="996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13" w:type="dxa"/>
            <w:vAlign w:val="center"/>
          </w:tcPr>
          <w:p w:rsidR="00B775AD" w:rsidRPr="00B775AD" w:rsidRDefault="008E2E3D" w:rsidP="008E2E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Удобство г</w:t>
            </w:r>
            <w:r w:rsidR="00B775AD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775AD"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</w:t>
            </w:r>
            <w:r w:rsidR="00751F5D" w:rsidRPr="00751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8E2E3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3D">
              <w:rPr>
                <w:rFonts w:ascii="Times New Roman" w:eastAsia="Calibri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15778E">
        <w:trPr>
          <w:cantSplit/>
          <w:trHeight w:val="1133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Удобство процедуры покупки (бронирования) билетов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81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театры, культурно-досуговые </w:t>
            </w:r>
            <w:r w:rsidR="00813AD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15778E">
        <w:trPr>
          <w:cantSplit/>
          <w:trHeight w:val="878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Простота/удобство поиска необходимого издания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CE4EF6" w:rsidRPr="00B775AD" w:rsidTr="0015778E">
        <w:trPr>
          <w:cantSplit/>
          <w:trHeight w:val="718"/>
          <w:jc w:val="center"/>
        </w:trPr>
        <w:tc>
          <w:tcPr>
            <w:tcW w:w="706" w:type="dxa"/>
            <w:vAlign w:val="center"/>
          </w:tcPr>
          <w:p w:rsidR="00CE4EF6" w:rsidRPr="00B775AD" w:rsidRDefault="00CE4EF6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86" w:type="dxa"/>
            <w:gridSpan w:val="4"/>
            <w:vAlign w:val="center"/>
          </w:tcPr>
          <w:p w:rsidR="00CE4EF6" w:rsidRPr="00B775AD" w:rsidRDefault="00CE4EF6" w:rsidP="009C0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Доброжелательность, вежливость, компетентность работников организации культуры</w:t>
            </w:r>
            <w:r w:rsidR="00D053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(от 0 до 13)</w:t>
            </w:r>
          </w:p>
        </w:tc>
      </w:tr>
      <w:tr w:rsidR="00B775AD" w:rsidRPr="00B775AD" w:rsidTr="0015778E">
        <w:trPr>
          <w:cantSplit/>
          <w:trHeight w:val="1549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Доброжелательность, вежливость и компетентность персонала </w:t>
            </w:r>
            <w:r w:rsidR="00E8201A" w:rsidRPr="00E8201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F20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2F7F5B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мнения получателей услуг</w:t>
            </w:r>
          </w:p>
        </w:tc>
      </w:tr>
      <w:tr w:rsidR="00FC16E1" w:rsidRPr="00B775AD" w:rsidTr="0015778E">
        <w:trPr>
          <w:cantSplit/>
          <w:trHeight w:val="3287"/>
          <w:jc w:val="center"/>
        </w:trPr>
        <w:tc>
          <w:tcPr>
            <w:tcW w:w="706" w:type="dxa"/>
            <w:vAlign w:val="center"/>
          </w:tcPr>
          <w:p w:rsidR="00FC16E1" w:rsidRPr="00F20F0E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913" w:type="dxa"/>
            <w:vAlign w:val="center"/>
          </w:tcPr>
          <w:p w:rsidR="00FC16E1" w:rsidRPr="00F20F0E" w:rsidRDefault="005640B1" w:rsidP="00564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5640B1">
              <w:rPr>
                <w:rFonts w:ascii="Times New Roman" w:eastAsia="Calibri" w:hAnsi="Times New Roman" w:cs="Times New Roman"/>
                <w:sz w:val="28"/>
                <w:szCs w:val="28"/>
              </w:rPr>
              <w:t>амилии,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5640B1">
              <w:rPr>
                <w:rFonts w:ascii="Times New Roman" w:eastAsia="Calibri" w:hAnsi="Times New Roman" w:cs="Times New Roman"/>
                <w:sz w:val="28"/>
                <w:szCs w:val="28"/>
              </w:rPr>
              <w:t>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640B1">
              <w:rPr>
                <w:rFonts w:ascii="Times New Roman" w:eastAsia="Calibri" w:hAnsi="Times New Roman" w:cs="Times New Roman"/>
                <w:sz w:val="28"/>
                <w:szCs w:val="28"/>
              </w:rPr>
              <w:t>режим, график работы; контактные 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ефоны, адреса электронной почты,</w:t>
            </w:r>
            <w:r w:rsidRPr="00564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 для направления предложений по улучшению качества услуг организации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2F7F5B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FC16E1" w:rsidP="00E820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информации на официальном сайте </w:t>
            </w:r>
            <w:r w:rsidR="00E8201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</w:t>
            </w:r>
          </w:p>
        </w:tc>
      </w:tr>
      <w:tr w:rsidR="00B775AD" w:rsidRPr="00B775AD" w:rsidTr="00756BBA">
        <w:trPr>
          <w:cantSplit/>
          <w:trHeight w:val="555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86" w:type="dxa"/>
            <w:gridSpan w:val="4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Удовлетворенность качеством оказания услуг</w:t>
            </w:r>
            <w:r w:rsidR="00D053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(от 0 до 60)</w:t>
            </w:r>
          </w:p>
        </w:tc>
      </w:tr>
      <w:tr w:rsidR="00B775AD" w:rsidRPr="00B775AD" w:rsidTr="00813AD2">
        <w:trPr>
          <w:cantSplit/>
          <w:trHeight w:val="1433"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удовлетворенности качеством оказания услуг </w:t>
            </w:r>
            <w:r w:rsidR="00E8201A" w:rsidRPr="00E82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культуры 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целом</w:t>
            </w:r>
          </w:p>
        </w:tc>
        <w:tc>
          <w:tcPr>
            <w:tcW w:w="2309" w:type="dxa"/>
            <w:vAlign w:val="center"/>
          </w:tcPr>
          <w:p w:rsidR="00B775AD" w:rsidRPr="00B775AD" w:rsidRDefault="00F20F0E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11</w:t>
            </w:r>
            <w:r w:rsidR="00B775AD"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D93C8F" w:rsidRPr="00D93C8F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FC16E1" w:rsidRPr="00B775AD" w:rsidTr="00F20F0E">
        <w:trPr>
          <w:cantSplit/>
          <w:trHeight w:val="2555"/>
          <w:jc w:val="center"/>
        </w:trPr>
        <w:tc>
          <w:tcPr>
            <w:tcW w:w="706" w:type="dxa"/>
            <w:vAlign w:val="center"/>
          </w:tcPr>
          <w:p w:rsidR="00FC16E1" w:rsidRPr="00B775AD" w:rsidRDefault="00FC16E1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13" w:type="dxa"/>
            <w:vAlign w:val="center"/>
          </w:tcPr>
          <w:p w:rsidR="00FC16E1" w:rsidRPr="00F20F0E" w:rsidRDefault="00FC16E1" w:rsidP="00E82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</w:t>
            </w:r>
            <w:r w:rsidR="00CA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качества работы организации</w:t>
            </w:r>
          </w:p>
        </w:tc>
        <w:tc>
          <w:tcPr>
            <w:tcW w:w="2309" w:type="dxa"/>
            <w:vAlign w:val="center"/>
          </w:tcPr>
          <w:p w:rsidR="00FC16E1" w:rsidRPr="00B775AD" w:rsidRDefault="00FC16E1" w:rsidP="00F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77" w:type="dxa"/>
            <w:vAlign w:val="center"/>
          </w:tcPr>
          <w:p w:rsidR="00FC16E1" w:rsidRPr="00B775AD" w:rsidRDefault="002F7F5B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FC16E1" w:rsidRPr="00B775AD" w:rsidRDefault="00FC16E1" w:rsidP="00E820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77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информации на официальном сайте </w:t>
            </w:r>
            <w:r w:rsidR="00E8201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проведения экскурсий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Разнообразие экспозиций </w:t>
            </w:r>
            <w:r w:rsidR="0015478A" w:rsidRPr="0015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Разнообразие репертуара </w:t>
            </w:r>
            <w:r w:rsidR="0015478A" w:rsidRPr="0015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154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Материально-техническое обеспечение </w:t>
            </w:r>
            <w:r w:rsidR="0015478A" w:rsidRPr="0015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культуры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756BBA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BA"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913" w:type="dxa"/>
            <w:vAlign w:val="center"/>
          </w:tcPr>
          <w:p w:rsidR="00B775AD" w:rsidRPr="00B775AD" w:rsidRDefault="000565B6" w:rsidP="00671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литературы</w:t>
            </w:r>
            <w:r w:rsidR="006A2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7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пользующейся спросом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B775AD" w:rsidP="0005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565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6A2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Разнообразие творческих </w:t>
            </w:r>
            <w:r w:rsidR="0023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кружков по интересам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813AD2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D2">
              <w:rPr>
                <w:rFonts w:ascii="Times New Roman" w:hAnsi="Times New Roman" w:cs="Times New Roman"/>
                <w:sz w:val="28"/>
                <w:szCs w:val="28"/>
              </w:rPr>
              <w:t>культурно-досуговые организации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775AD" w:rsidRPr="00B775AD" w:rsidTr="00F20F0E">
        <w:trPr>
          <w:cantSplit/>
          <w:jc w:val="center"/>
        </w:trPr>
        <w:tc>
          <w:tcPr>
            <w:tcW w:w="706" w:type="dxa"/>
            <w:vAlign w:val="center"/>
          </w:tcPr>
          <w:p w:rsidR="00B775AD" w:rsidRPr="00B775AD" w:rsidRDefault="000565B6" w:rsidP="0005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4913" w:type="dxa"/>
            <w:vAlign w:val="center"/>
          </w:tcPr>
          <w:p w:rsidR="00B775AD" w:rsidRPr="00B775AD" w:rsidRDefault="00B775AD" w:rsidP="009C0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проведения культурно-массовых мероприятий</w:t>
            </w:r>
          </w:p>
        </w:tc>
        <w:tc>
          <w:tcPr>
            <w:tcW w:w="2309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vAlign w:val="center"/>
          </w:tcPr>
          <w:p w:rsidR="00B775AD" w:rsidRPr="00B775AD" w:rsidRDefault="00813AD2" w:rsidP="00B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D2">
              <w:rPr>
                <w:rFonts w:ascii="Times New Roman" w:hAnsi="Times New Roman" w:cs="Times New Roman"/>
                <w:sz w:val="28"/>
                <w:szCs w:val="28"/>
              </w:rPr>
              <w:t>культурно-досуговые организации</w:t>
            </w:r>
          </w:p>
        </w:tc>
        <w:tc>
          <w:tcPr>
            <w:tcW w:w="4287" w:type="dxa"/>
            <w:vAlign w:val="center"/>
          </w:tcPr>
          <w:p w:rsidR="00B775AD" w:rsidRPr="00B775AD" w:rsidRDefault="00B775AD" w:rsidP="00B77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</w:tbl>
    <w:p w:rsidR="00756BBA" w:rsidRPr="00B775AD" w:rsidRDefault="00756BBA" w:rsidP="00813AD2">
      <w:pPr>
        <w:rPr>
          <w:rFonts w:ascii="Times New Roman" w:hAnsi="Times New Roman" w:cs="Times New Roman"/>
          <w:sz w:val="28"/>
          <w:szCs w:val="28"/>
        </w:rPr>
      </w:pPr>
    </w:p>
    <w:sectPr w:rsidR="00756BBA" w:rsidRPr="00B775AD" w:rsidSect="00B32DF5">
      <w:type w:val="continuous"/>
      <w:pgSz w:w="16838" w:h="11906" w:orient="landscape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5B" w:rsidRDefault="00851B5B" w:rsidP="003C3F71">
      <w:pPr>
        <w:spacing w:after="0" w:line="240" w:lineRule="auto"/>
      </w:pPr>
      <w:r>
        <w:separator/>
      </w:r>
    </w:p>
  </w:endnote>
  <w:endnote w:type="continuationSeparator" w:id="0">
    <w:p w:rsidR="00851B5B" w:rsidRDefault="00851B5B" w:rsidP="003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5B" w:rsidRDefault="00851B5B" w:rsidP="003C3F71">
      <w:pPr>
        <w:spacing w:after="0" w:line="240" w:lineRule="auto"/>
      </w:pPr>
      <w:r>
        <w:separator/>
      </w:r>
    </w:p>
  </w:footnote>
  <w:footnote w:type="continuationSeparator" w:id="0">
    <w:p w:rsidR="00851B5B" w:rsidRDefault="00851B5B" w:rsidP="003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398116"/>
      <w:docPartObj>
        <w:docPartGallery w:val="Page Numbers (Top of Page)"/>
        <w:docPartUnique/>
      </w:docPartObj>
    </w:sdtPr>
    <w:sdtEndPr/>
    <w:sdtContent>
      <w:p w:rsidR="003C3F71" w:rsidRDefault="00F43C71">
        <w:pPr>
          <w:pStyle w:val="a6"/>
          <w:jc w:val="center"/>
        </w:pPr>
        <w:r>
          <w:fldChar w:fldCharType="begin"/>
        </w:r>
        <w:r w:rsidR="003C3F71">
          <w:instrText>PAGE   \* MERGEFORMAT</w:instrText>
        </w:r>
        <w:r>
          <w:fldChar w:fldCharType="separate"/>
        </w:r>
        <w:r w:rsidR="00FB3D62">
          <w:rPr>
            <w:noProof/>
          </w:rPr>
          <w:t>8</w:t>
        </w:r>
        <w:r>
          <w:fldChar w:fldCharType="end"/>
        </w:r>
      </w:p>
    </w:sdtContent>
  </w:sdt>
  <w:p w:rsidR="003C3F71" w:rsidRDefault="003C3F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C"/>
    <w:rsid w:val="000565B6"/>
    <w:rsid w:val="00093633"/>
    <w:rsid w:val="00132F34"/>
    <w:rsid w:val="0015478A"/>
    <w:rsid w:val="0015778E"/>
    <w:rsid w:val="00162F60"/>
    <w:rsid w:val="00164C81"/>
    <w:rsid w:val="00181F0A"/>
    <w:rsid w:val="0018783F"/>
    <w:rsid w:val="001B5D37"/>
    <w:rsid w:val="00231333"/>
    <w:rsid w:val="00237063"/>
    <w:rsid w:val="00255475"/>
    <w:rsid w:val="002E4C5F"/>
    <w:rsid w:val="002F537F"/>
    <w:rsid w:val="002F7F5B"/>
    <w:rsid w:val="00303C75"/>
    <w:rsid w:val="003C3F71"/>
    <w:rsid w:val="004303A5"/>
    <w:rsid w:val="0046431B"/>
    <w:rsid w:val="00485651"/>
    <w:rsid w:val="004A3D84"/>
    <w:rsid w:val="004D5816"/>
    <w:rsid w:val="00505335"/>
    <w:rsid w:val="00556966"/>
    <w:rsid w:val="005640B1"/>
    <w:rsid w:val="005911B0"/>
    <w:rsid w:val="00643057"/>
    <w:rsid w:val="00671639"/>
    <w:rsid w:val="00676860"/>
    <w:rsid w:val="006A2456"/>
    <w:rsid w:val="0071539A"/>
    <w:rsid w:val="00751F5D"/>
    <w:rsid w:val="00756BBA"/>
    <w:rsid w:val="007B4DE2"/>
    <w:rsid w:val="007F1E7F"/>
    <w:rsid w:val="00813AD2"/>
    <w:rsid w:val="00851B5B"/>
    <w:rsid w:val="00866379"/>
    <w:rsid w:val="00866B07"/>
    <w:rsid w:val="008D5A1D"/>
    <w:rsid w:val="008E2E3D"/>
    <w:rsid w:val="008E5D4A"/>
    <w:rsid w:val="0092116E"/>
    <w:rsid w:val="009253FE"/>
    <w:rsid w:val="00950C9C"/>
    <w:rsid w:val="009A63FC"/>
    <w:rsid w:val="009C05D6"/>
    <w:rsid w:val="00A2409A"/>
    <w:rsid w:val="00A72E37"/>
    <w:rsid w:val="00A86A54"/>
    <w:rsid w:val="00AE1D67"/>
    <w:rsid w:val="00AE261C"/>
    <w:rsid w:val="00B21974"/>
    <w:rsid w:val="00B32DF5"/>
    <w:rsid w:val="00B5361C"/>
    <w:rsid w:val="00B70979"/>
    <w:rsid w:val="00B775AD"/>
    <w:rsid w:val="00C308AC"/>
    <w:rsid w:val="00C30909"/>
    <w:rsid w:val="00C50A00"/>
    <w:rsid w:val="00C516DD"/>
    <w:rsid w:val="00C71031"/>
    <w:rsid w:val="00CA593E"/>
    <w:rsid w:val="00CE4EF6"/>
    <w:rsid w:val="00D053D9"/>
    <w:rsid w:val="00D175A2"/>
    <w:rsid w:val="00D362A0"/>
    <w:rsid w:val="00D9074B"/>
    <w:rsid w:val="00D93C8F"/>
    <w:rsid w:val="00E8201A"/>
    <w:rsid w:val="00EB35CF"/>
    <w:rsid w:val="00F001EC"/>
    <w:rsid w:val="00F20F0E"/>
    <w:rsid w:val="00F43C71"/>
    <w:rsid w:val="00F76B02"/>
    <w:rsid w:val="00FB3D62"/>
    <w:rsid w:val="00FC16E1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DF5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32F34"/>
    <w:pPr>
      <w:numPr>
        <w:numId w:val="1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F71"/>
  </w:style>
  <w:style w:type="paragraph" w:styleId="a8">
    <w:name w:val="footer"/>
    <w:basedOn w:val="a"/>
    <w:link w:val="a9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F71"/>
  </w:style>
  <w:style w:type="character" w:customStyle="1" w:styleId="20">
    <w:name w:val="Заголовок 2 Знак"/>
    <w:basedOn w:val="a0"/>
    <w:link w:val="2"/>
    <w:uiPriority w:val="9"/>
    <w:rsid w:val="00B32DF5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B32DF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B32DF5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B32DF5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DF5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32F34"/>
    <w:pPr>
      <w:numPr>
        <w:numId w:val="1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F71"/>
  </w:style>
  <w:style w:type="paragraph" w:styleId="a8">
    <w:name w:val="footer"/>
    <w:basedOn w:val="a"/>
    <w:link w:val="a9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F71"/>
  </w:style>
  <w:style w:type="character" w:customStyle="1" w:styleId="20">
    <w:name w:val="Заголовок 2 Знак"/>
    <w:basedOn w:val="a0"/>
    <w:link w:val="2"/>
    <w:uiPriority w:val="9"/>
    <w:rsid w:val="00B32DF5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B32DF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B32DF5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B32DF5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27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8040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ED81-D248-40B9-9B84-8BC6D555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Лебедева Марина Еркиновна</cp:lastModifiedBy>
  <cp:revision>3</cp:revision>
  <cp:lastPrinted>2015-03-10T11:28:00Z</cp:lastPrinted>
  <dcterms:created xsi:type="dcterms:W3CDTF">2015-07-02T05:04:00Z</dcterms:created>
  <dcterms:modified xsi:type="dcterms:W3CDTF">2015-07-02T05:05:00Z</dcterms:modified>
</cp:coreProperties>
</file>