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DB60F1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поселение </w:t>
      </w:r>
      <w:r w:rsidR="003A1AED">
        <w:rPr>
          <w:b/>
          <w:color w:val="000000"/>
          <w:sz w:val="32"/>
        </w:rPr>
        <w:t>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B76DDE">
      <w:pPr>
        <w:pBdr>
          <w:bottom w:val="thinThickSmallGap" w:sz="24" w:space="1" w:color="auto"/>
        </w:pBdr>
        <w:tabs>
          <w:tab w:val="left" w:pos="5490"/>
        </w:tabs>
        <w:outlineLvl w:val="0"/>
        <w:rPr>
          <w:b/>
          <w:sz w:val="20"/>
        </w:rPr>
      </w:pPr>
    </w:p>
    <w:p w:rsidR="00601411" w:rsidRPr="003A1AED" w:rsidRDefault="00601411" w:rsidP="003A1AED">
      <w:pPr>
        <w:jc w:val="center"/>
        <w:rPr>
          <w:b/>
        </w:rPr>
      </w:pPr>
    </w:p>
    <w:p w:rsidR="006B15E4" w:rsidRDefault="006B15E4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F85EBC" w:rsidTr="00035920">
        <w:tc>
          <w:tcPr>
            <w:tcW w:w="3227" w:type="dxa"/>
          </w:tcPr>
          <w:p w:rsidR="007F1962" w:rsidRPr="00F85EBC" w:rsidRDefault="007F1962" w:rsidP="00CB65B3">
            <w:pPr>
              <w:ind w:right="-2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CB65B3">
              <w:rPr>
                <w:b/>
                <w:sz w:val="28"/>
                <w:szCs w:val="28"/>
              </w:rPr>
              <w:t>21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CB65B3">
              <w:rPr>
                <w:b/>
                <w:sz w:val="28"/>
                <w:szCs w:val="28"/>
              </w:rPr>
              <w:t>июня</w:t>
            </w:r>
            <w:r w:rsidRPr="00F85EBC">
              <w:rPr>
                <w:b/>
                <w:sz w:val="28"/>
                <w:szCs w:val="28"/>
              </w:rPr>
              <w:t xml:space="preserve"> 20</w:t>
            </w:r>
            <w:r w:rsidR="0037336C">
              <w:rPr>
                <w:b/>
                <w:sz w:val="28"/>
                <w:szCs w:val="28"/>
              </w:rPr>
              <w:t>2</w:t>
            </w:r>
            <w:r w:rsidR="0028181A">
              <w:rPr>
                <w:b/>
                <w:sz w:val="28"/>
                <w:szCs w:val="28"/>
              </w:rPr>
              <w:t>1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379" w:type="dxa"/>
          </w:tcPr>
          <w:p w:rsidR="007F1962" w:rsidRPr="00F85EBC" w:rsidRDefault="007F1E7B" w:rsidP="00CB65B3">
            <w:pPr>
              <w:ind w:right="-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6D32AB">
              <w:rPr>
                <w:b/>
                <w:sz w:val="28"/>
                <w:szCs w:val="28"/>
              </w:rPr>
              <w:t xml:space="preserve"> </w:t>
            </w:r>
            <w:r w:rsidR="00CB65B3">
              <w:rPr>
                <w:b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035920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</w:p>
    <w:p w:rsidR="00CB65B3" w:rsidRPr="00CB65B3" w:rsidRDefault="00CB65B3" w:rsidP="00CB65B3">
      <w:pPr>
        <w:spacing w:line="276" w:lineRule="auto"/>
        <w:ind w:right="-1"/>
        <w:jc w:val="center"/>
        <w:rPr>
          <w:b/>
          <w:sz w:val="28"/>
          <w:szCs w:val="28"/>
        </w:rPr>
      </w:pPr>
      <w:r w:rsidRPr="00CB65B3">
        <w:rPr>
          <w:b/>
          <w:sz w:val="28"/>
          <w:szCs w:val="28"/>
        </w:rPr>
        <w:t>«О внесении изменений в Генеральный план МО СП «</w:t>
      </w:r>
      <w:proofErr w:type="spellStart"/>
      <w:r w:rsidRPr="00CB65B3">
        <w:rPr>
          <w:b/>
          <w:sz w:val="28"/>
          <w:szCs w:val="28"/>
        </w:rPr>
        <w:t>с</w:t>
      </w:r>
      <w:proofErr w:type="gramStart"/>
      <w:r w:rsidRPr="00CB65B3">
        <w:rPr>
          <w:b/>
          <w:sz w:val="28"/>
          <w:szCs w:val="28"/>
        </w:rPr>
        <w:t>.К</w:t>
      </w:r>
      <w:proofErr w:type="gramEnd"/>
      <w:r w:rsidRPr="00CB65B3">
        <w:rPr>
          <w:b/>
          <w:sz w:val="28"/>
          <w:szCs w:val="28"/>
        </w:rPr>
        <w:t>арага</w:t>
      </w:r>
      <w:proofErr w:type="spellEnd"/>
      <w:r w:rsidRPr="00CB65B3">
        <w:rPr>
          <w:b/>
          <w:sz w:val="28"/>
          <w:szCs w:val="28"/>
        </w:rPr>
        <w:t>»</w:t>
      </w:r>
    </w:p>
    <w:p w:rsidR="00CB65B3" w:rsidRPr="00CB65B3" w:rsidRDefault="00CB65B3" w:rsidP="00CB65B3">
      <w:pPr>
        <w:spacing w:line="276" w:lineRule="auto"/>
        <w:ind w:right="45"/>
        <w:jc w:val="center"/>
        <w:rPr>
          <w:i/>
        </w:rPr>
      </w:pPr>
    </w:p>
    <w:p w:rsidR="00CB65B3" w:rsidRPr="00CB65B3" w:rsidRDefault="00CB65B3" w:rsidP="00CB65B3">
      <w:pPr>
        <w:spacing w:line="276" w:lineRule="auto"/>
        <w:ind w:right="45"/>
        <w:jc w:val="center"/>
        <w:rPr>
          <w:i/>
        </w:rPr>
      </w:pPr>
      <w:proofErr w:type="gramStart"/>
      <w:r w:rsidRPr="00CB65B3">
        <w:rPr>
          <w:i/>
        </w:rPr>
        <w:t>(Принято решением Совета депутатов</w:t>
      </w:r>
      <w:proofErr w:type="gramEnd"/>
    </w:p>
    <w:p w:rsidR="00CB65B3" w:rsidRPr="00CB65B3" w:rsidRDefault="00CB65B3" w:rsidP="00CB65B3">
      <w:pPr>
        <w:spacing w:line="276" w:lineRule="auto"/>
        <w:ind w:right="45"/>
        <w:jc w:val="center"/>
        <w:rPr>
          <w:i/>
        </w:rPr>
      </w:pPr>
      <w:r w:rsidRPr="00CB65B3">
        <w:rPr>
          <w:i/>
        </w:rPr>
        <w:t>муниципального образования сельского поселения</w:t>
      </w:r>
    </w:p>
    <w:p w:rsidR="00CB65B3" w:rsidRPr="00CB65B3" w:rsidRDefault="00CB65B3" w:rsidP="00CB65B3">
      <w:pPr>
        <w:spacing w:line="276" w:lineRule="auto"/>
        <w:ind w:right="45"/>
        <w:jc w:val="center"/>
        <w:rPr>
          <w:i/>
        </w:rPr>
      </w:pPr>
      <w:r w:rsidRPr="00CB65B3">
        <w:rPr>
          <w:i/>
        </w:rPr>
        <w:t>«село Карага» от «</w:t>
      </w:r>
      <w:r>
        <w:rPr>
          <w:i/>
        </w:rPr>
        <w:t>21</w:t>
      </w:r>
      <w:r w:rsidRPr="00CB65B3">
        <w:rPr>
          <w:i/>
        </w:rPr>
        <w:t xml:space="preserve">» </w:t>
      </w:r>
      <w:r>
        <w:rPr>
          <w:i/>
        </w:rPr>
        <w:t>июня 2021 г. № 25</w:t>
      </w:r>
      <w:r w:rsidRPr="00CB65B3">
        <w:rPr>
          <w:i/>
        </w:rPr>
        <w:t>)</w:t>
      </w:r>
    </w:p>
    <w:p w:rsidR="00CB65B3" w:rsidRPr="00CB65B3" w:rsidRDefault="00CB65B3" w:rsidP="00CB65B3">
      <w:pPr>
        <w:spacing w:line="276" w:lineRule="auto"/>
        <w:rPr>
          <w:b/>
          <w:bCs/>
        </w:rPr>
      </w:pPr>
    </w:p>
    <w:p w:rsidR="00CB65B3" w:rsidRPr="00CB65B3" w:rsidRDefault="00CB65B3" w:rsidP="00CB65B3">
      <w:pPr>
        <w:numPr>
          <w:ilvl w:val="0"/>
          <w:numId w:val="35"/>
        </w:numPr>
        <w:spacing w:line="276" w:lineRule="auto"/>
        <w:ind w:left="0" w:firstLine="360"/>
        <w:jc w:val="both"/>
      </w:pPr>
      <w:r w:rsidRPr="00CB65B3">
        <w:t>Дополнить пояснительную записку Генерального плана сельского поселения «село Караг</w:t>
      </w:r>
      <w:r>
        <w:t>а» материалов по обоснованию пунктом</w:t>
      </w:r>
      <w:r w:rsidRPr="00CB65B3">
        <w:t xml:space="preserve"> 2.8.3.1 следующего содержания:</w:t>
      </w:r>
    </w:p>
    <w:p w:rsidR="00CB65B3" w:rsidRPr="00CB65B3" w:rsidRDefault="00CB65B3" w:rsidP="00CB65B3">
      <w:pPr>
        <w:spacing w:line="276" w:lineRule="auto"/>
        <w:jc w:val="both"/>
      </w:pPr>
    </w:p>
    <w:p w:rsidR="00CB65B3" w:rsidRPr="00CB65B3" w:rsidRDefault="00CB65B3" w:rsidP="00CB65B3">
      <w:pPr>
        <w:spacing w:line="276" w:lineRule="auto"/>
        <w:rPr>
          <w:b/>
        </w:rPr>
      </w:pPr>
      <w:r w:rsidRPr="00CB65B3">
        <w:rPr>
          <w:b/>
        </w:rPr>
        <w:t>«2.8.3.1 Рыбоохранные зоны</w:t>
      </w:r>
    </w:p>
    <w:p w:rsidR="00CB65B3" w:rsidRPr="00CB65B3" w:rsidRDefault="00CB65B3" w:rsidP="00CB65B3">
      <w:pPr>
        <w:spacing w:line="276" w:lineRule="auto"/>
        <w:jc w:val="both"/>
      </w:pPr>
      <w:bookmarkStart w:id="1" w:name="dst100430"/>
      <w:bookmarkEnd w:id="1"/>
      <w:r w:rsidRPr="00CB65B3">
        <w:t xml:space="preserve">Рыбоохранной зоной является территория, которая прилегает к акватории водного объекта </w:t>
      </w:r>
      <w:proofErr w:type="spellStart"/>
      <w:r w:rsidRPr="00CB65B3">
        <w:t>рыбохозяйственного</w:t>
      </w:r>
      <w:proofErr w:type="spellEnd"/>
      <w:r w:rsidRPr="00CB65B3">
        <w:t xml:space="preserve"> значения, на которой вводятся ограничения хозяйственной и иной деятельности.</w:t>
      </w:r>
    </w:p>
    <w:p w:rsidR="00CB65B3" w:rsidRPr="00CB65B3" w:rsidRDefault="00CB65B3" w:rsidP="00CB65B3">
      <w:pPr>
        <w:spacing w:line="276" w:lineRule="auto"/>
        <w:jc w:val="both"/>
      </w:pPr>
      <w:r w:rsidRPr="00CB65B3">
        <w:t>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ресурсов.</w:t>
      </w:r>
    </w:p>
    <w:p w:rsidR="00CB65B3" w:rsidRPr="00CB65B3" w:rsidRDefault="00CB65B3" w:rsidP="00CB65B3">
      <w:pPr>
        <w:spacing w:line="276" w:lineRule="auto"/>
        <w:jc w:val="both"/>
      </w:pPr>
      <w:r w:rsidRPr="00CB65B3">
        <w:t>Ширина рыбоохранной зоны Карагинского залива Берингова моря установлена в размере 500 метров.</w:t>
      </w:r>
    </w:p>
    <w:p w:rsidR="00CB65B3" w:rsidRPr="00CB65B3" w:rsidRDefault="00CB65B3" w:rsidP="00CB65B3">
      <w:pPr>
        <w:spacing w:line="276" w:lineRule="auto"/>
        <w:jc w:val="both"/>
      </w:pPr>
      <w:r w:rsidRPr="00CB65B3">
        <w:t xml:space="preserve">Хозяйственная и иная деятельность в рыбоохранных зонах допускается при условии соблюдения требований </w:t>
      </w:r>
      <w:hyperlink r:id="rId9" w:anchor="block_3" w:history="1">
        <w:r w:rsidRPr="00CB65B3">
          <w:rPr>
            <w:color w:val="0000FF"/>
            <w:u w:val="single"/>
          </w:rPr>
          <w:t>законодательства</w:t>
        </w:r>
      </w:hyperlink>
      <w:r w:rsidRPr="00CB65B3">
        <w:t xml:space="preserve"> о рыболовстве и сохранении водных биологических ресурсов, </w:t>
      </w:r>
      <w:hyperlink r:id="rId10" w:anchor="block_2" w:history="1">
        <w:r w:rsidRPr="00CB65B3">
          <w:rPr>
            <w:color w:val="0000FF"/>
            <w:u w:val="single"/>
          </w:rPr>
          <w:t>водного законодательства</w:t>
        </w:r>
      </w:hyperlink>
      <w:r w:rsidRPr="00CB65B3">
        <w:t xml:space="preserve"> и </w:t>
      </w:r>
      <w:hyperlink r:id="rId11" w:anchor="block_2" w:history="1">
        <w:r w:rsidRPr="00CB65B3">
          <w:rPr>
            <w:color w:val="0000FF"/>
            <w:u w:val="single"/>
          </w:rPr>
          <w:t>законодательства</w:t>
        </w:r>
      </w:hyperlink>
      <w:r w:rsidRPr="00CB65B3">
        <w:t xml:space="preserve"> в области охраны окружающей среды, необходимых для сохранения условий воспроизводства водных биологических ресурсов.</w:t>
      </w:r>
    </w:p>
    <w:p w:rsidR="00CB65B3" w:rsidRPr="00CB65B3" w:rsidRDefault="00CB65B3" w:rsidP="00CB65B3">
      <w:pPr>
        <w:spacing w:line="276" w:lineRule="auto"/>
        <w:jc w:val="both"/>
      </w:pPr>
      <w:r w:rsidRPr="00CB65B3">
        <w:t>В целях сохранения условий для воспроизводства водных биологических ресурсов устанавливаются ограничения, в соответствии с которыми в границах рыбоохранных зон запрещаются: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использование сточных вод в целях регулирования плодородия почв;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осуществление авиационных мер по борьбе с вредными организмами;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proofErr w:type="gramStart"/>
      <w:r w:rsidRPr="00CB65B3">
        <w:lastRenderedPageBreak/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транспортного средства;</w:t>
      </w:r>
      <w:proofErr w:type="gramEnd"/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 xml:space="preserve">размещение специализированных хранилищ пестицидов и </w:t>
      </w:r>
      <w:proofErr w:type="spellStart"/>
      <w:r w:rsidRPr="00CB65B3">
        <w:t>агрохимикатов</w:t>
      </w:r>
      <w:proofErr w:type="spellEnd"/>
      <w:r w:rsidRPr="00CB65B3">
        <w:t xml:space="preserve">, применение пестицидов и </w:t>
      </w:r>
      <w:proofErr w:type="spellStart"/>
      <w:r w:rsidRPr="00CB65B3">
        <w:t>агрохимикатов</w:t>
      </w:r>
      <w:proofErr w:type="spellEnd"/>
      <w:r w:rsidRPr="00CB65B3">
        <w:t>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сброс сточных, в том числе дренажных, вод;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proofErr w:type="gramStart"/>
      <w:r w:rsidRPr="00CB65B3"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 Законом Российской Федерации «О недрах»);</w:t>
      </w:r>
      <w:proofErr w:type="gramEnd"/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распашка земель;</w:t>
      </w:r>
    </w:p>
    <w:p w:rsidR="00CB65B3" w:rsidRPr="00CB65B3" w:rsidRDefault="00CB65B3" w:rsidP="00CB65B3">
      <w:pPr>
        <w:numPr>
          <w:ilvl w:val="0"/>
          <w:numId w:val="36"/>
        </w:numPr>
        <w:snapToGrid w:val="0"/>
        <w:spacing w:before="40" w:after="400" w:line="276" w:lineRule="auto"/>
        <w:contextualSpacing/>
        <w:jc w:val="both"/>
      </w:pPr>
      <w:r w:rsidRPr="00CB65B3">
        <w:t>размещение отвалов размываемых грунтов;</w:t>
      </w:r>
    </w:p>
    <w:p w:rsidR="00CB65B3" w:rsidRPr="00CB65B3" w:rsidRDefault="00CB65B3" w:rsidP="00CB65B3">
      <w:pPr>
        <w:spacing w:line="276" w:lineRule="auto"/>
        <w:ind w:left="930" w:hanging="363"/>
        <w:jc w:val="both"/>
      </w:pPr>
      <w:r w:rsidRPr="00CB65B3">
        <w:t>11</w:t>
      </w:r>
      <w:r w:rsidRPr="00CB65B3">
        <w:tab/>
        <w:t>выпас сельскохозяйственных животных и организация для них летних лагерей, ванн.</w:t>
      </w:r>
    </w:p>
    <w:p w:rsidR="00CB65B3" w:rsidRPr="00CB65B3" w:rsidRDefault="00CB65B3" w:rsidP="00CB65B3">
      <w:pPr>
        <w:spacing w:line="276" w:lineRule="auto"/>
        <w:jc w:val="both"/>
      </w:pPr>
      <w:r w:rsidRPr="00CB65B3">
        <w:t>Ограничения осуществления хозяйственной и иной деятельности в рыбоохранных зонах вводятся при принятии Федеральным агентством по рыболовству решения об установлении рыбоохранных зон</w:t>
      </w:r>
      <w:proofErr w:type="gramStart"/>
      <w:r w:rsidRPr="00CB65B3">
        <w:t>.»</w:t>
      </w:r>
      <w:proofErr w:type="gramEnd"/>
    </w:p>
    <w:p w:rsidR="00CB65B3" w:rsidRPr="00CB65B3" w:rsidRDefault="00CB65B3" w:rsidP="00CB65B3">
      <w:pPr>
        <w:spacing w:line="276" w:lineRule="auto"/>
        <w:ind w:left="360"/>
        <w:jc w:val="both"/>
      </w:pPr>
    </w:p>
    <w:p w:rsidR="00CB65B3" w:rsidRPr="00CB65B3" w:rsidRDefault="00CB65B3" w:rsidP="00CB65B3">
      <w:pPr>
        <w:numPr>
          <w:ilvl w:val="0"/>
          <w:numId w:val="35"/>
        </w:numPr>
        <w:spacing w:line="276" w:lineRule="auto"/>
        <w:ind w:left="0" w:firstLine="360"/>
        <w:jc w:val="both"/>
      </w:pPr>
      <w:r w:rsidRPr="00CB65B3">
        <w:t>Опубликовать (обнародовать) настоящее Решение в соответствии с Уставом МО СП «с. Карага».</w:t>
      </w:r>
    </w:p>
    <w:p w:rsidR="00CB65B3" w:rsidRPr="00CB65B3" w:rsidRDefault="00CB65B3" w:rsidP="00CB65B3">
      <w:pPr>
        <w:spacing w:line="276" w:lineRule="auto"/>
      </w:pPr>
    </w:p>
    <w:p w:rsidR="00CB65B3" w:rsidRPr="00CB65B3" w:rsidRDefault="00CB65B3" w:rsidP="00CB65B3">
      <w:pPr>
        <w:spacing w:line="276" w:lineRule="auto"/>
      </w:pPr>
    </w:p>
    <w:p w:rsidR="00CB65B3" w:rsidRPr="00CB65B3" w:rsidRDefault="00CB65B3" w:rsidP="00CB65B3">
      <w:pPr>
        <w:spacing w:line="276" w:lineRule="auto"/>
      </w:pPr>
      <w:r w:rsidRPr="00CB65B3">
        <w:t xml:space="preserve">Глава сельского поселения </w:t>
      </w:r>
    </w:p>
    <w:p w:rsidR="00CB65B3" w:rsidRPr="00CB65B3" w:rsidRDefault="00CB65B3" w:rsidP="00CB65B3">
      <w:pPr>
        <w:spacing w:line="276" w:lineRule="auto"/>
        <w:rPr>
          <w:i/>
        </w:rPr>
      </w:pPr>
      <w:r w:rsidRPr="00CB65B3">
        <w:t>«село Карага»</w:t>
      </w:r>
      <w:r w:rsidRPr="00CB65B3">
        <w:tab/>
      </w:r>
      <w:r w:rsidRPr="00CB65B3">
        <w:tab/>
      </w:r>
      <w:r w:rsidRPr="00CB65B3">
        <w:tab/>
      </w:r>
      <w:r w:rsidRPr="00CB65B3">
        <w:tab/>
      </w:r>
      <w:r w:rsidRPr="00CB65B3">
        <w:tab/>
      </w:r>
      <w:r w:rsidRPr="00CB65B3">
        <w:tab/>
      </w:r>
      <w:r w:rsidRPr="00CB65B3">
        <w:tab/>
      </w:r>
      <w:r w:rsidRPr="00CB65B3">
        <w:tab/>
        <w:t xml:space="preserve">Н.В. </w:t>
      </w:r>
      <w:proofErr w:type="spellStart"/>
      <w:r w:rsidRPr="00CB65B3">
        <w:t>Шафранская</w:t>
      </w:r>
      <w:proofErr w:type="spellEnd"/>
    </w:p>
    <w:p w:rsidR="006D32AB" w:rsidRPr="00AB1C8E" w:rsidRDefault="006D32AB" w:rsidP="00CB65B3">
      <w:pPr>
        <w:ind w:right="-2"/>
        <w:jc w:val="center"/>
        <w:rPr>
          <w:sz w:val="28"/>
          <w:szCs w:val="28"/>
        </w:rPr>
      </w:pPr>
    </w:p>
    <w:sectPr w:rsidR="006D32AB" w:rsidRPr="00AB1C8E" w:rsidSect="00AB1C8E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84" w:rsidRDefault="00A55F84" w:rsidP="008932C8">
      <w:r>
        <w:separator/>
      </w:r>
    </w:p>
  </w:endnote>
  <w:endnote w:type="continuationSeparator" w:id="0">
    <w:p w:rsidR="00A55F84" w:rsidRDefault="00A55F84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84" w:rsidRDefault="00A55F84" w:rsidP="008932C8">
      <w:r>
        <w:separator/>
      </w:r>
    </w:p>
  </w:footnote>
  <w:footnote w:type="continuationSeparator" w:id="0">
    <w:p w:rsidR="00A55F84" w:rsidRDefault="00A55F84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6055C7"/>
    <w:multiLevelType w:val="hybridMultilevel"/>
    <w:tmpl w:val="37B20274"/>
    <w:lvl w:ilvl="0" w:tplc="B636C66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E965CE2"/>
    <w:multiLevelType w:val="hybridMultilevel"/>
    <w:tmpl w:val="EFDA06C2"/>
    <w:lvl w:ilvl="0" w:tplc="DA26A2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D766152"/>
    <w:multiLevelType w:val="multilevel"/>
    <w:tmpl w:val="89D428B2"/>
    <w:lvl w:ilvl="0">
      <w:start w:val="1"/>
      <w:numFmt w:val="decimal"/>
      <w:lvlText w:val="%1."/>
      <w:lvlJc w:val="left"/>
      <w:pPr>
        <w:ind w:left="930" w:hanging="363"/>
      </w:pPr>
    </w:lvl>
    <w:lvl w:ilvl="1">
      <w:start w:val="1"/>
      <w:numFmt w:val="decimal"/>
      <w:isLgl/>
      <w:lvlText w:val="%1.%2."/>
      <w:lvlJc w:val="left"/>
      <w:pPr>
        <w:snapToGrid w:val="0"/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930" w:hanging="363"/>
      </w:p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930" w:hanging="363"/>
      </w:pPr>
    </w:lvl>
    <w:lvl w:ilvl="4">
      <w:start w:val="1"/>
      <w:numFmt w:val="decimal"/>
      <w:lvlRestart w:val="1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Таблица %1-%6."/>
      <w:lvlJc w:val="left"/>
      <w:pPr>
        <w:ind w:left="930" w:hanging="363"/>
      </w:pPr>
      <w:rPr>
        <w:b w:val="0"/>
        <w:i w:val="0"/>
      </w:rPr>
    </w:lvl>
    <w:lvl w:ilvl="6">
      <w:start w:val="1"/>
      <w:numFmt w:val="decimal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isLgl/>
      <w:lvlText w:val="Таблица %1.%2.%3-%8."/>
      <w:lvlJc w:val="left"/>
      <w:pPr>
        <w:ind w:left="930" w:hanging="363"/>
      </w:pPr>
    </w:lvl>
    <w:lvl w:ilvl="8">
      <w:start w:val="1"/>
      <w:numFmt w:val="decimal"/>
      <w:isLgl/>
      <w:lvlText w:val="Таблица %1.%2.%3.%4-%9."/>
      <w:lvlJc w:val="left"/>
      <w:pPr>
        <w:ind w:left="930" w:hanging="363"/>
      </w:pPr>
    </w:lvl>
  </w:abstractNum>
  <w:abstractNum w:abstractNumId="22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1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2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7"/>
  </w:num>
  <w:num w:numId="3">
    <w:abstractNumId w:val="30"/>
  </w:num>
  <w:num w:numId="4">
    <w:abstractNumId w:val="19"/>
  </w:num>
  <w:num w:numId="5">
    <w:abstractNumId w:val="28"/>
  </w:num>
  <w:num w:numId="6">
    <w:abstractNumId w:val="10"/>
  </w:num>
  <w:num w:numId="7">
    <w:abstractNumId w:val="17"/>
  </w:num>
  <w:num w:numId="8">
    <w:abstractNumId w:val="22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8"/>
  </w:num>
  <w:num w:numId="16">
    <w:abstractNumId w:val="7"/>
  </w:num>
  <w:num w:numId="17">
    <w:abstractNumId w:val="24"/>
  </w:num>
  <w:num w:numId="18">
    <w:abstractNumId w:val="15"/>
  </w:num>
  <w:num w:numId="19">
    <w:abstractNumId w:val="23"/>
  </w:num>
  <w:num w:numId="20">
    <w:abstractNumId w:val="0"/>
  </w:num>
  <w:num w:numId="21">
    <w:abstractNumId w:val="33"/>
  </w:num>
  <w:num w:numId="22">
    <w:abstractNumId w:val="20"/>
  </w:num>
  <w:num w:numId="23">
    <w:abstractNumId w:val="25"/>
  </w:num>
  <w:num w:numId="24">
    <w:abstractNumId w:val="12"/>
  </w:num>
  <w:num w:numId="25">
    <w:abstractNumId w:val="18"/>
  </w:num>
  <w:num w:numId="26">
    <w:abstractNumId w:val="3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9"/>
  </w:num>
  <w:num w:numId="30">
    <w:abstractNumId w:val="26"/>
  </w:num>
  <w:num w:numId="31">
    <w:abstractNumId w:val="6"/>
  </w:num>
  <w:num w:numId="32">
    <w:abstractNumId w:val="3"/>
  </w:num>
  <w:num w:numId="33">
    <w:abstractNumId w:val="16"/>
  </w:num>
  <w:num w:numId="34">
    <w:abstractNumId w:val="5"/>
  </w:num>
  <w:num w:numId="35">
    <w:abstractNumId w:val="9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8181A"/>
    <w:rsid w:val="002A0918"/>
    <w:rsid w:val="002C580E"/>
    <w:rsid w:val="002D4FC2"/>
    <w:rsid w:val="003044E0"/>
    <w:rsid w:val="0033468D"/>
    <w:rsid w:val="00352983"/>
    <w:rsid w:val="0035560E"/>
    <w:rsid w:val="0037336C"/>
    <w:rsid w:val="00395240"/>
    <w:rsid w:val="003A1AED"/>
    <w:rsid w:val="003A3490"/>
    <w:rsid w:val="003E0C72"/>
    <w:rsid w:val="003F2DFC"/>
    <w:rsid w:val="003F42E4"/>
    <w:rsid w:val="00430259"/>
    <w:rsid w:val="00441D96"/>
    <w:rsid w:val="00446915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B15E4"/>
    <w:rsid w:val="006C14EF"/>
    <w:rsid w:val="006D20AF"/>
    <w:rsid w:val="006D32AB"/>
    <w:rsid w:val="0071017D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76DDE"/>
    <w:rsid w:val="00BD08B9"/>
    <w:rsid w:val="00BE2FA5"/>
    <w:rsid w:val="00CB65B3"/>
    <w:rsid w:val="00CB7A2C"/>
    <w:rsid w:val="00D14C5F"/>
    <w:rsid w:val="00D24885"/>
    <w:rsid w:val="00D53010"/>
    <w:rsid w:val="00D5556E"/>
    <w:rsid w:val="00D7206A"/>
    <w:rsid w:val="00D73C07"/>
    <w:rsid w:val="00DA24C8"/>
    <w:rsid w:val="00DB60F1"/>
    <w:rsid w:val="00DC3A2E"/>
    <w:rsid w:val="00DE56F6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25350/741609f9002bd54a24e5c49cb5af953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2147594/741609f9002bd54a24e5c49cb5af953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38110/5ac206a89ea76855804609cd950fca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7280-6FFC-4579-A4DE-161BA6B3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8</cp:revision>
  <cp:lastPrinted>2021-01-28T02:29:00Z</cp:lastPrinted>
  <dcterms:created xsi:type="dcterms:W3CDTF">2020-12-27T22:13:00Z</dcterms:created>
  <dcterms:modified xsi:type="dcterms:W3CDTF">2021-07-01T08:07:00Z</dcterms:modified>
</cp:coreProperties>
</file>