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91" w:rsidRPr="00821083" w:rsidRDefault="00626B91" w:rsidP="00626B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</w:t>
      </w:r>
      <w:r w:rsidR="00C14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зор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практики осуществления регионального государственного стро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тельного надзора </w:t>
      </w:r>
      <w:r w:rsidR="00BE69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Камчатского края </w:t>
      </w:r>
      <w:r w:rsidR="00623320" w:rsidRPr="00821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2018</w:t>
      </w:r>
      <w:r w:rsidRPr="00821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626B91" w:rsidRDefault="00626B91" w:rsidP="00626B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6B91" w:rsidRDefault="00626B91" w:rsidP="00626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ч. 1.1 </w:t>
      </w:r>
      <w:r>
        <w:rPr>
          <w:rFonts w:ascii="Times New Roman" w:hAnsi="Times New Roman" w:cs="Times New Roman"/>
          <w:sz w:val="28"/>
          <w:szCs w:val="28"/>
        </w:rPr>
        <w:t>Положения об Инспекции государственного строительного надзора Камчатского края, утвержденного постановлением Правительства Камчатского края от 19.12.2008 N 442-П, Инспекция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 строительного надзора Камчатского края (далее по тексту –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спекция) является исполнительным органом государственной власти Камча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края, осуществляющим функции по региональному государственному строительному надзору, а в случаях, предусмотренных законодательством Камчатского края, функции по нормативному правовому регулированию, иные правоприменительные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в установленной сфере деятельности.</w:t>
      </w:r>
    </w:p>
    <w:p w:rsidR="00082FFE" w:rsidRDefault="00082FFE" w:rsidP="00626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FFE" w:rsidRPr="00082FFE" w:rsidRDefault="00082FFE" w:rsidP="00626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и осуществление Инспекцией мероприятий по 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тике нарушений обязательных требований </w:t>
      </w:r>
      <w:r w:rsidR="00821083" w:rsidRPr="00D47AEB">
        <w:rPr>
          <w:rFonts w:ascii="Times New Roman" w:hAnsi="Times New Roman" w:cs="Times New Roman"/>
          <w:sz w:val="28"/>
          <w:szCs w:val="28"/>
        </w:rPr>
        <w:t>проводили</w:t>
      </w:r>
      <w:r w:rsidR="00B82338" w:rsidRPr="00D47AEB">
        <w:rPr>
          <w:rFonts w:ascii="Times New Roman" w:hAnsi="Times New Roman" w:cs="Times New Roman"/>
          <w:sz w:val="28"/>
          <w:szCs w:val="28"/>
        </w:rPr>
        <w:t>сь</w:t>
      </w:r>
      <w:r w:rsidRPr="00B82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жденной приказом Инспекции от 13.06.2018 г. № 214 </w:t>
      </w:r>
      <w:r w:rsidRPr="00082FFE">
        <w:rPr>
          <w:rFonts w:ascii="Times New Roman" w:hAnsi="Times New Roman" w:cs="Times New Roman"/>
          <w:sz w:val="28"/>
          <w:szCs w:val="28"/>
        </w:rPr>
        <w:t>Программы профила</w:t>
      </w:r>
      <w:r w:rsidRPr="00082FFE">
        <w:rPr>
          <w:rFonts w:ascii="Times New Roman" w:hAnsi="Times New Roman" w:cs="Times New Roman"/>
          <w:sz w:val="28"/>
          <w:szCs w:val="28"/>
        </w:rPr>
        <w:t>к</w:t>
      </w:r>
      <w:r w:rsidRPr="00082FFE">
        <w:rPr>
          <w:rFonts w:ascii="Times New Roman" w:hAnsi="Times New Roman" w:cs="Times New Roman"/>
          <w:sz w:val="28"/>
          <w:szCs w:val="28"/>
        </w:rPr>
        <w:t xml:space="preserve">тики нарушений обязательных требований 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осуществления реги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государственного  строительного надзора за строительством, р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конструкцией  объектов капитального строительства на территории Камча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в случаях, предусмотренных  Градостроительным кодексом Ро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A43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Программа профилакт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ки)</w:t>
      </w:r>
      <w:r w:rsidRPr="0008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307A" w:rsidRDefault="0051307A" w:rsidP="00626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7A" w:rsidRPr="00277D9B" w:rsidRDefault="0051307A" w:rsidP="00513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 xml:space="preserve">Целями обобщения и анализа правоприменительной практики </w:t>
      </w:r>
      <w:r w:rsidR="00B82338" w:rsidRPr="00D47AEB">
        <w:rPr>
          <w:rFonts w:ascii="Times New Roman" w:hAnsi="Times New Roman" w:cs="Times New Roman"/>
          <w:sz w:val="28"/>
          <w:szCs w:val="28"/>
        </w:rPr>
        <w:t>ко</w:t>
      </w:r>
      <w:r w:rsidR="00B82338" w:rsidRPr="00D47AEB">
        <w:rPr>
          <w:rFonts w:ascii="Times New Roman" w:hAnsi="Times New Roman" w:cs="Times New Roman"/>
          <w:sz w:val="28"/>
          <w:szCs w:val="28"/>
        </w:rPr>
        <w:t>н</w:t>
      </w:r>
      <w:r w:rsidR="00B82338" w:rsidRPr="00D47AEB">
        <w:rPr>
          <w:rFonts w:ascii="Times New Roman" w:hAnsi="Times New Roman" w:cs="Times New Roman"/>
          <w:sz w:val="28"/>
          <w:szCs w:val="28"/>
        </w:rPr>
        <w:t xml:space="preserve">трольно-надзорной </w:t>
      </w:r>
      <w:r w:rsidRPr="00277D9B">
        <w:rPr>
          <w:rFonts w:ascii="Times New Roman" w:hAnsi="Times New Roman" w:cs="Times New Roman"/>
          <w:sz w:val="28"/>
          <w:szCs w:val="28"/>
        </w:rPr>
        <w:t xml:space="preserve">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Pr="00277D9B">
        <w:rPr>
          <w:rFonts w:ascii="Times New Roman" w:hAnsi="Times New Roman" w:cs="Times New Roman"/>
          <w:sz w:val="28"/>
          <w:szCs w:val="28"/>
        </w:rPr>
        <w:t>на террит</w:t>
      </w:r>
      <w:r w:rsidRPr="00277D9B">
        <w:rPr>
          <w:rFonts w:ascii="Times New Roman" w:hAnsi="Times New Roman" w:cs="Times New Roman"/>
          <w:sz w:val="28"/>
          <w:szCs w:val="28"/>
        </w:rPr>
        <w:t>о</w:t>
      </w:r>
      <w:r w:rsidRPr="00277D9B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77D9B">
        <w:rPr>
          <w:rFonts w:ascii="Times New Roman" w:hAnsi="Times New Roman" w:cs="Times New Roman"/>
          <w:sz w:val="28"/>
          <w:szCs w:val="28"/>
        </w:rPr>
        <w:t>, являются:</w:t>
      </w:r>
    </w:p>
    <w:p w:rsidR="0051307A" w:rsidRPr="00277D9B" w:rsidRDefault="0051307A" w:rsidP="00B82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 xml:space="preserve">- обеспечение доступности сведений 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277D9B">
        <w:rPr>
          <w:rFonts w:ascii="Times New Roman" w:hAnsi="Times New Roman" w:cs="Times New Roman"/>
          <w:sz w:val="28"/>
          <w:szCs w:val="28"/>
        </w:rPr>
        <w:t>путем их публикации для сведения подконтрольных субъектов;</w:t>
      </w:r>
    </w:p>
    <w:p w:rsidR="0051307A" w:rsidRPr="00277D9B" w:rsidRDefault="0051307A" w:rsidP="00B82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снижение количества нарушений обязательных требований и пов</w:t>
      </w:r>
      <w:r w:rsidRPr="00277D9B">
        <w:rPr>
          <w:rFonts w:ascii="Times New Roman" w:hAnsi="Times New Roman" w:cs="Times New Roman"/>
          <w:sz w:val="28"/>
          <w:szCs w:val="28"/>
        </w:rPr>
        <w:t>ы</w:t>
      </w:r>
      <w:r w:rsidRPr="00277D9B">
        <w:rPr>
          <w:rFonts w:ascii="Times New Roman" w:hAnsi="Times New Roman" w:cs="Times New Roman"/>
          <w:sz w:val="28"/>
          <w:szCs w:val="28"/>
        </w:rPr>
        <w:t>шение уровня защищенности охраняемых законом ценностей за счет обесп</w:t>
      </w:r>
      <w:r w:rsidRPr="00277D9B">
        <w:rPr>
          <w:rFonts w:ascii="Times New Roman" w:hAnsi="Times New Roman" w:cs="Times New Roman"/>
          <w:sz w:val="28"/>
          <w:szCs w:val="28"/>
        </w:rPr>
        <w:t>е</w:t>
      </w:r>
      <w:r w:rsidRPr="00277D9B">
        <w:rPr>
          <w:rFonts w:ascii="Times New Roman" w:hAnsi="Times New Roman" w:cs="Times New Roman"/>
          <w:sz w:val="28"/>
          <w:szCs w:val="28"/>
        </w:rPr>
        <w:t>чения информированности подконтрольных субъектов о практике примен</w:t>
      </w:r>
      <w:r w:rsidRPr="00277D9B">
        <w:rPr>
          <w:rFonts w:ascii="Times New Roman" w:hAnsi="Times New Roman" w:cs="Times New Roman"/>
          <w:sz w:val="28"/>
          <w:szCs w:val="28"/>
        </w:rPr>
        <w:t>е</w:t>
      </w:r>
      <w:r w:rsidRPr="00277D9B">
        <w:rPr>
          <w:rFonts w:ascii="Times New Roman" w:hAnsi="Times New Roman" w:cs="Times New Roman"/>
          <w:sz w:val="28"/>
          <w:szCs w:val="28"/>
        </w:rPr>
        <w:t>ния обязательных требований;</w:t>
      </w:r>
    </w:p>
    <w:p w:rsidR="0051307A" w:rsidRDefault="0051307A" w:rsidP="00B82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 xml:space="preserve">- совершенствование нормативных правовых актов </w:t>
      </w:r>
      <w:r w:rsidR="00D47AEB">
        <w:rPr>
          <w:rFonts w:ascii="Times New Roman" w:hAnsi="Times New Roman" w:cs="Times New Roman"/>
          <w:sz w:val="28"/>
          <w:szCs w:val="28"/>
        </w:rPr>
        <w:t>с</w:t>
      </w:r>
      <w:r w:rsidR="006243BD" w:rsidRPr="00624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43BD" w:rsidRPr="00D47AEB">
        <w:rPr>
          <w:rFonts w:ascii="Times New Roman" w:hAnsi="Times New Roman" w:cs="Times New Roman"/>
          <w:sz w:val="28"/>
          <w:szCs w:val="28"/>
        </w:rPr>
        <w:t>целью</w:t>
      </w:r>
      <w:r w:rsidRPr="00D47AEB">
        <w:rPr>
          <w:rFonts w:ascii="Times New Roman" w:hAnsi="Times New Roman" w:cs="Times New Roman"/>
          <w:sz w:val="28"/>
          <w:szCs w:val="28"/>
        </w:rPr>
        <w:t xml:space="preserve"> устранения устаревших, дублирующих и избыточных обязательных требований, </w:t>
      </w:r>
      <w:r w:rsidR="006243BD" w:rsidRPr="00D47AE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243BD">
        <w:rPr>
          <w:rFonts w:ascii="Times New Roman" w:hAnsi="Times New Roman" w:cs="Times New Roman"/>
          <w:sz w:val="28"/>
          <w:szCs w:val="28"/>
        </w:rPr>
        <w:t>устранения</w:t>
      </w:r>
      <w:r w:rsidR="006243BD" w:rsidRPr="006243B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77D9B">
        <w:rPr>
          <w:rFonts w:ascii="Times New Roman" w:hAnsi="Times New Roman" w:cs="Times New Roman"/>
          <w:sz w:val="28"/>
          <w:szCs w:val="28"/>
        </w:rPr>
        <w:t>избыточных надзорных функций.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7A" w:rsidRPr="00277D9B" w:rsidRDefault="0051307A" w:rsidP="00513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При реализации функций по осуществлению государственного стро</w:t>
      </w:r>
      <w:r w:rsidRPr="00277D9B">
        <w:rPr>
          <w:rFonts w:ascii="Times New Roman" w:hAnsi="Times New Roman" w:cs="Times New Roman"/>
          <w:sz w:val="28"/>
          <w:szCs w:val="28"/>
        </w:rPr>
        <w:t>и</w:t>
      </w:r>
      <w:r w:rsidRPr="00277D9B">
        <w:rPr>
          <w:rFonts w:ascii="Times New Roman" w:hAnsi="Times New Roman" w:cs="Times New Roman"/>
          <w:sz w:val="28"/>
          <w:szCs w:val="28"/>
        </w:rPr>
        <w:t xml:space="preserve">тельного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Pr="00277D9B">
        <w:rPr>
          <w:rFonts w:ascii="Times New Roman" w:hAnsi="Times New Roman" w:cs="Times New Roman"/>
          <w:sz w:val="28"/>
          <w:szCs w:val="28"/>
        </w:rPr>
        <w:t>руководствуется в своей деятельности: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Градостроительным кодексом Российской Федерации;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Кодексом Российской Федерации об административных правонарушениях;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Федеральным законом от 27.12.2002 № 184-ФЗ «О техническом регулир</w:t>
      </w:r>
      <w:r w:rsidRPr="00277D9B">
        <w:rPr>
          <w:rFonts w:ascii="Times New Roman" w:hAnsi="Times New Roman" w:cs="Times New Roman"/>
          <w:sz w:val="28"/>
          <w:szCs w:val="28"/>
        </w:rPr>
        <w:t>о</w:t>
      </w:r>
      <w:r w:rsidRPr="00277D9B">
        <w:rPr>
          <w:rFonts w:ascii="Times New Roman" w:hAnsi="Times New Roman" w:cs="Times New Roman"/>
          <w:sz w:val="28"/>
          <w:szCs w:val="28"/>
        </w:rPr>
        <w:t>вании»;</w:t>
      </w:r>
    </w:p>
    <w:p w:rsidR="0051307A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Федеральным законом от 30.12.2009 № 384-ФЗ «Технический регламент о безопасности зданий и сооружений»;</w:t>
      </w:r>
    </w:p>
    <w:p w:rsidR="001A4EC7" w:rsidRPr="00D47AEB" w:rsidRDefault="001A4EC7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EB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22.07.2008  № 123-ФЗ «Технический регламент о требованиях пожарной безопасности»;</w:t>
      </w:r>
    </w:p>
    <w:p w:rsidR="0051307A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EB">
        <w:rPr>
          <w:rFonts w:ascii="Times New Roman" w:hAnsi="Times New Roman" w:cs="Times New Roman"/>
          <w:sz w:val="28"/>
          <w:szCs w:val="28"/>
        </w:rPr>
        <w:t>- Федеральным законом от 26.12.2008 № 294</w:t>
      </w:r>
      <w:r w:rsidRPr="00277D9B">
        <w:rPr>
          <w:rFonts w:ascii="Times New Roman" w:hAnsi="Times New Roman" w:cs="Times New Roman"/>
          <w:sz w:val="28"/>
          <w:szCs w:val="28"/>
        </w:rPr>
        <w:t>-ФЗ «О защите прав юридич</w:t>
      </w:r>
      <w:r w:rsidRPr="00277D9B">
        <w:rPr>
          <w:rFonts w:ascii="Times New Roman" w:hAnsi="Times New Roman" w:cs="Times New Roman"/>
          <w:sz w:val="28"/>
          <w:szCs w:val="28"/>
        </w:rPr>
        <w:t>е</w:t>
      </w:r>
      <w:r w:rsidRPr="00277D9B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277D9B">
        <w:rPr>
          <w:rFonts w:ascii="Times New Roman" w:hAnsi="Times New Roman" w:cs="Times New Roman"/>
          <w:sz w:val="28"/>
          <w:szCs w:val="28"/>
        </w:rPr>
        <w:t>р</w:t>
      </w:r>
      <w:r w:rsidRPr="00277D9B"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контроля»;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01.02.2006 № 54 «О государственном строительном надзоре в Российской Федерации»;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25.04.2012 № 390 «О противопожарном режиме»;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21.06.2010 № 468 «О порядке проведения строительного контроля при осуществлении стро</w:t>
      </w:r>
      <w:r w:rsidRPr="00277D9B">
        <w:rPr>
          <w:rFonts w:ascii="Times New Roman" w:hAnsi="Times New Roman" w:cs="Times New Roman"/>
          <w:sz w:val="28"/>
          <w:szCs w:val="28"/>
        </w:rPr>
        <w:t>и</w:t>
      </w:r>
      <w:r w:rsidRPr="00277D9B">
        <w:rPr>
          <w:rFonts w:ascii="Times New Roman" w:hAnsi="Times New Roman" w:cs="Times New Roman"/>
          <w:sz w:val="28"/>
          <w:szCs w:val="28"/>
        </w:rPr>
        <w:t>тельства, реконструкции и капитального ремонта объектов капитального строительства»;</w:t>
      </w:r>
    </w:p>
    <w:p w:rsidR="0051307A" w:rsidRDefault="0051307A" w:rsidP="00513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19.12.2008 N 442-П «Об утверждении Положения об Инспекции государственного строительного надзора Камчатского края»;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 xml:space="preserve">- приказом </w:t>
      </w:r>
      <w:proofErr w:type="spellStart"/>
      <w:r w:rsidRPr="00277D9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77D9B">
        <w:rPr>
          <w:rFonts w:ascii="Times New Roman" w:hAnsi="Times New Roman" w:cs="Times New Roman"/>
          <w:sz w:val="28"/>
          <w:szCs w:val="28"/>
        </w:rPr>
        <w:t xml:space="preserve"> от 26.12.2006 № 1128 «Об утверждении и введении в действие Требований к составу и порядку ведения исполнительной док</w:t>
      </w:r>
      <w:r w:rsidRPr="00277D9B">
        <w:rPr>
          <w:rFonts w:ascii="Times New Roman" w:hAnsi="Times New Roman" w:cs="Times New Roman"/>
          <w:sz w:val="28"/>
          <w:szCs w:val="28"/>
        </w:rPr>
        <w:t>у</w:t>
      </w:r>
      <w:r w:rsidRPr="00277D9B">
        <w:rPr>
          <w:rFonts w:ascii="Times New Roman" w:hAnsi="Times New Roman" w:cs="Times New Roman"/>
          <w:sz w:val="28"/>
          <w:szCs w:val="28"/>
        </w:rPr>
        <w:t>ментации при строительстве, реконструкции, капитальном ремонте объектов капитального строительства и требований, предъявляемых к актам освид</w:t>
      </w:r>
      <w:r w:rsidRPr="00277D9B">
        <w:rPr>
          <w:rFonts w:ascii="Times New Roman" w:hAnsi="Times New Roman" w:cs="Times New Roman"/>
          <w:sz w:val="28"/>
          <w:szCs w:val="28"/>
        </w:rPr>
        <w:t>е</w:t>
      </w:r>
      <w:r w:rsidRPr="00277D9B">
        <w:rPr>
          <w:rFonts w:ascii="Times New Roman" w:hAnsi="Times New Roman" w:cs="Times New Roman"/>
          <w:sz w:val="28"/>
          <w:szCs w:val="28"/>
        </w:rPr>
        <w:t>тельствования работ, конструкций, участков сетей инженерно-технического обеспечения»;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 xml:space="preserve">- приказом </w:t>
      </w:r>
      <w:proofErr w:type="spellStart"/>
      <w:r w:rsidRPr="00277D9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77D9B">
        <w:rPr>
          <w:rFonts w:ascii="Times New Roman" w:hAnsi="Times New Roman" w:cs="Times New Roman"/>
          <w:sz w:val="28"/>
          <w:szCs w:val="28"/>
        </w:rPr>
        <w:t xml:space="preserve"> от 26.12.2006 № 1129 «Об утверждении и введении в действие Порядка проведения проверок при осуществлении государстве</w:t>
      </w:r>
      <w:r w:rsidRPr="00277D9B">
        <w:rPr>
          <w:rFonts w:ascii="Times New Roman" w:hAnsi="Times New Roman" w:cs="Times New Roman"/>
          <w:sz w:val="28"/>
          <w:szCs w:val="28"/>
        </w:rPr>
        <w:t>н</w:t>
      </w:r>
      <w:r w:rsidRPr="00277D9B">
        <w:rPr>
          <w:rFonts w:ascii="Times New Roman" w:hAnsi="Times New Roman" w:cs="Times New Roman"/>
          <w:sz w:val="28"/>
          <w:szCs w:val="28"/>
        </w:rPr>
        <w:t>ного строительного надзора и выдачи заключений о соответствии построе</w:t>
      </w:r>
      <w:r w:rsidRPr="00277D9B">
        <w:rPr>
          <w:rFonts w:ascii="Times New Roman" w:hAnsi="Times New Roman" w:cs="Times New Roman"/>
          <w:sz w:val="28"/>
          <w:szCs w:val="28"/>
        </w:rPr>
        <w:t>н</w:t>
      </w:r>
      <w:r w:rsidRPr="00277D9B">
        <w:rPr>
          <w:rFonts w:ascii="Times New Roman" w:hAnsi="Times New Roman" w:cs="Times New Roman"/>
          <w:sz w:val="28"/>
          <w:szCs w:val="28"/>
        </w:rPr>
        <w:t>ных, реконструированных, отремонтированных объектов капитального стр</w:t>
      </w:r>
      <w:r w:rsidRPr="00277D9B">
        <w:rPr>
          <w:rFonts w:ascii="Times New Roman" w:hAnsi="Times New Roman" w:cs="Times New Roman"/>
          <w:sz w:val="28"/>
          <w:szCs w:val="28"/>
        </w:rPr>
        <w:t>о</w:t>
      </w:r>
      <w:r w:rsidRPr="00277D9B">
        <w:rPr>
          <w:rFonts w:ascii="Times New Roman" w:hAnsi="Times New Roman" w:cs="Times New Roman"/>
          <w:sz w:val="28"/>
          <w:szCs w:val="28"/>
        </w:rPr>
        <w:t>ительства требованиям технических регламентов (норм и правил), иных но</w:t>
      </w:r>
      <w:r w:rsidRPr="00277D9B">
        <w:rPr>
          <w:rFonts w:ascii="Times New Roman" w:hAnsi="Times New Roman" w:cs="Times New Roman"/>
          <w:sz w:val="28"/>
          <w:szCs w:val="28"/>
        </w:rPr>
        <w:t>р</w:t>
      </w:r>
      <w:r w:rsidRPr="00277D9B">
        <w:rPr>
          <w:rFonts w:ascii="Times New Roman" w:hAnsi="Times New Roman" w:cs="Times New Roman"/>
          <w:sz w:val="28"/>
          <w:szCs w:val="28"/>
        </w:rPr>
        <w:t>мативных правовых актов, проектной документации»;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 xml:space="preserve">- приказом </w:t>
      </w:r>
      <w:proofErr w:type="spellStart"/>
      <w:r w:rsidRPr="00277D9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77D9B">
        <w:rPr>
          <w:rFonts w:ascii="Times New Roman" w:hAnsi="Times New Roman" w:cs="Times New Roman"/>
          <w:sz w:val="28"/>
          <w:szCs w:val="28"/>
        </w:rPr>
        <w:t xml:space="preserve"> от 26.12.2006 № 1130 «Об утверждении и введении в действие Порядка формирования и ведения дел при осуществлении гос</w:t>
      </w:r>
      <w:r w:rsidRPr="00277D9B">
        <w:rPr>
          <w:rFonts w:ascii="Times New Roman" w:hAnsi="Times New Roman" w:cs="Times New Roman"/>
          <w:sz w:val="28"/>
          <w:szCs w:val="28"/>
        </w:rPr>
        <w:t>у</w:t>
      </w:r>
      <w:r w:rsidRPr="00277D9B">
        <w:rPr>
          <w:rFonts w:ascii="Times New Roman" w:hAnsi="Times New Roman" w:cs="Times New Roman"/>
          <w:sz w:val="28"/>
          <w:szCs w:val="28"/>
        </w:rPr>
        <w:t>дарственного строительного надзора»;</w:t>
      </w:r>
    </w:p>
    <w:p w:rsidR="0051307A" w:rsidRPr="00277D9B" w:rsidRDefault="0051307A" w:rsidP="0051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9B">
        <w:rPr>
          <w:rFonts w:ascii="Times New Roman" w:hAnsi="Times New Roman" w:cs="Times New Roman"/>
          <w:sz w:val="28"/>
          <w:szCs w:val="28"/>
        </w:rPr>
        <w:t xml:space="preserve">- приказом </w:t>
      </w:r>
      <w:proofErr w:type="spellStart"/>
      <w:r w:rsidRPr="00277D9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77D9B">
        <w:rPr>
          <w:rFonts w:ascii="Times New Roman" w:hAnsi="Times New Roman" w:cs="Times New Roman"/>
          <w:sz w:val="28"/>
          <w:szCs w:val="28"/>
        </w:rPr>
        <w:t xml:space="preserve"> от 12.01.2007 № 7 «Об утверждении и введении в действие Порядка ведения общего и (или) специального журнала учета в</w:t>
      </w:r>
      <w:r w:rsidRPr="00277D9B">
        <w:rPr>
          <w:rFonts w:ascii="Times New Roman" w:hAnsi="Times New Roman" w:cs="Times New Roman"/>
          <w:sz w:val="28"/>
          <w:szCs w:val="28"/>
        </w:rPr>
        <w:t>ы</w:t>
      </w:r>
      <w:r w:rsidRPr="00277D9B">
        <w:rPr>
          <w:rFonts w:ascii="Times New Roman" w:hAnsi="Times New Roman" w:cs="Times New Roman"/>
          <w:sz w:val="28"/>
          <w:szCs w:val="28"/>
        </w:rPr>
        <w:t>полнения работ при строительстве, реконструкции, капитальном ремонте объектов капитального строительства».</w:t>
      </w:r>
    </w:p>
    <w:p w:rsidR="00626B91" w:rsidRDefault="00626B91" w:rsidP="005130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B91" w:rsidRDefault="0051307A" w:rsidP="00513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Сводные данные о результатах работы Инспекции в 201</w:t>
      </w:r>
      <w:r w:rsidR="00C779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C77982" w:rsidRDefault="00C77982" w:rsidP="00513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7982" w:rsidRDefault="00C77982" w:rsidP="00C77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C77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состоянию на 31.12.2018 год на учете в Инспекции состояло 124 объекта капитального строительства. Из них в течение 2018 года поставлено на учет – 38.</w:t>
      </w:r>
    </w:p>
    <w:p w:rsidR="0068337C" w:rsidRDefault="0068337C" w:rsidP="0068337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337C" w:rsidRDefault="0068337C" w:rsidP="0068337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337C" w:rsidRDefault="0068337C" w:rsidP="0068337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337C" w:rsidRDefault="0068337C" w:rsidP="0068337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337C" w:rsidRDefault="0068337C" w:rsidP="00C77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8337C" w:rsidRPr="00D47AEB" w:rsidRDefault="00FB781B" w:rsidP="0068337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7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Общие показатели деятельности Инспекции в отношении </w:t>
      </w:r>
    </w:p>
    <w:p w:rsidR="0068337C" w:rsidRPr="00D47AEB" w:rsidRDefault="00FB781B" w:rsidP="0068337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7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всех участников строительства, реконструкции </w:t>
      </w:r>
    </w:p>
    <w:p w:rsidR="00FB781B" w:rsidRPr="0068337C" w:rsidRDefault="00FB781B" w:rsidP="0068337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0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8"/>
        <w:gridCol w:w="1897"/>
      </w:tblGrid>
      <w:tr w:rsidR="001050A9" w:rsidRPr="00C14B6C" w:rsidTr="001050A9">
        <w:trPr>
          <w:trHeight w:val="159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Проведённые проверки в отношении застройщиков (технич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ских заказчиков), лиц, осуществляющих строительство, всего, ед. </w:t>
            </w:r>
          </w:p>
          <w:p w:rsidR="001050A9" w:rsidRPr="00C14B6C" w:rsidRDefault="001050A9" w:rsidP="00105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документарные </w:t>
            </w:r>
            <w:r w:rsidRPr="00C1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50A9" w:rsidRPr="00C14B6C" w:rsidRDefault="001050A9" w:rsidP="00105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выездные </w:t>
            </w:r>
          </w:p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в том числе по основаниям: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9" w:rsidRPr="00C14B6C" w:rsidRDefault="001050A9" w:rsidP="00105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0A9" w:rsidRDefault="001050A9" w:rsidP="0010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A9" w:rsidRPr="00C14B6C" w:rsidRDefault="001050A9" w:rsidP="0010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1050A9" w:rsidRPr="00C14B6C" w:rsidRDefault="001050A9" w:rsidP="0010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050A9" w:rsidRPr="00C14B6C" w:rsidRDefault="001050A9" w:rsidP="00105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1050A9" w:rsidRPr="00C14B6C" w:rsidTr="001050A9">
        <w:trPr>
          <w:trHeight w:val="510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извещение о начале строительства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050A9" w:rsidRPr="00C14B6C" w:rsidTr="001050A9">
        <w:trPr>
          <w:trHeight w:val="346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проверок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1050A9" w:rsidRPr="00C14B6C" w:rsidTr="001050A9">
        <w:trPr>
          <w:trHeight w:val="30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извещение о сроках завершения работ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50A9" w:rsidRPr="00C14B6C" w:rsidTr="001050A9">
        <w:trPr>
          <w:trHeight w:val="277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извещение об устранении нарушений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1050A9" w:rsidRPr="00C14B6C" w:rsidTr="001050A9">
        <w:trPr>
          <w:trHeight w:val="60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истечение срока исполнения предписаний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</w:tr>
      <w:tr w:rsidR="001050A9" w:rsidRPr="00C14B6C" w:rsidTr="001050A9">
        <w:trPr>
          <w:trHeight w:val="30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- извещение об аварийной ситуации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0A9" w:rsidRPr="00C14B6C" w:rsidTr="001050A9">
        <w:trPr>
          <w:trHeight w:val="66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50A9" w:rsidRPr="00C14B6C" w:rsidTr="001050A9">
        <w:trPr>
          <w:trHeight w:val="332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извещение об окончании строительства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1050A9" w:rsidRPr="00C14B6C" w:rsidTr="001050A9">
        <w:trPr>
          <w:trHeight w:val="24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требование прокурора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0A9" w:rsidRPr="00C14B6C" w:rsidTr="001050A9">
        <w:trPr>
          <w:trHeight w:val="60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Выданные предписания, ед. </w:t>
            </w:r>
            <w:r w:rsidRPr="00C1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1050A9" w:rsidRPr="00C14B6C" w:rsidTr="001050A9">
        <w:trPr>
          <w:trHeight w:val="596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нарушения, ед.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1050A9" w:rsidRPr="00C14B6C" w:rsidTr="001050A9">
        <w:trPr>
          <w:trHeight w:val="26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Устранённые нарушения, ед.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</w:t>
            </w:r>
          </w:p>
        </w:tc>
      </w:tr>
      <w:tr w:rsidR="001050A9" w:rsidRPr="00C14B6C" w:rsidTr="001050A9">
        <w:trPr>
          <w:trHeight w:val="24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Выданные заключения о соответствии готового объекта кап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 установленным требованиям</w:t>
            </w:r>
            <w:r w:rsidR="001118F9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4A39E9" w:rsidRDefault="004A39E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50A9" w:rsidRPr="00C14B6C" w:rsidTr="001050A9">
        <w:trPr>
          <w:trHeight w:val="249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1050A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Выданные решения об отказе в выдаче заключения о соотве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ствии готового объекта капитального строительства </w:t>
            </w:r>
          </w:p>
          <w:p w:rsidR="001050A9" w:rsidRPr="00C14B6C" w:rsidRDefault="001050A9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установленным требованиям</w:t>
            </w:r>
            <w:r w:rsidR="001118F9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  <w:r w:rsidRPr="00C14B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1118F9" w:rsidRDefault="001050A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337C" w:rsidRDefault="001118F9" w:rsidP="001118F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4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Итоги работы по выявлению административных правонарушений</w:t>
      </w:r>
    </w:p>
    <w:tbl>
      <w:tblPr>
        <w:tblpPr w:leftFromText="180" w:rightFromText="180" w:vertAnchor="text" w:horzAnchor="margin" w:tblpXSpec="center" w:tblpY="430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8"/>
        <w:gridCol w:w="1897"/>
      </w:tblGrid>
      <w:tr w:rsidR="001118F9" w:rsidRPr="00C14B6C" w:rsidTr="00D47AEB">
        <w:trPr>
          <w:trHeight w:val="79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 xml:space="preserve">Выявленные административные правонарушения, ед. </w:t>
            </w:r>
          </w:p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</w:tr>
      <w:tr w:rsidR="001118F9" w:rsidRPr="00C14B6C" w:rsidTr="00D47AEB">
        <w:trPr>
          <w:trHeight w:val="46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 нарушение требований проектной документации и норм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>а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тивных документов в области строительства </w:t>
            </w:r>
          </w:p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</w:tr>
      <w:tr w:rsidR="001118F9" w:rsidRPr="00C14B6C" w:rsidTr="00D47AEB">
        <w:trPr>
          <w:trHeight w:val="51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lastRenderedPageBreak/>
              <w:t>- нарушение установленного порядка строительства, реко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>н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струкции объекта капитального строительства, ввода его в эксплуатацию </w:t>
            </w:r>
          </w:p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1118F9" w:rsidRPr="00C14B6C" w:rsidTr="00D47AEB">
        <w:trPr>
          <w:trHeight w:val="460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 невыполнение в срок законного предписания органа, ос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>у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ществляющего государственный строительный надзор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1118F9" w:rsidRPr="00C14B6C" w:rsidTr="00D47AEB">
        <w:trPr>
          <w:trHeight w:val="510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118F9" w:rsidRPr="00C14B6C" w:rsidTr="00D47AEB">
        <w:trPr>
          <w:trHeight w:val="233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 xml:space="preserve">- неуплата административного штрафа в срок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8F9" w:rsidRPr="00C14B6C" w:rsidTr="00D47AEB">
        <w:trPr>
          <w:trHeight w:val="248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 нарушение требований пожарной безопасности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8F9" w:rsidRPr="00C14B6C" w:rsidTr="00D47AEB">
        <w:trPr>
          <w:trHeight w:val="22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 непредставление сведений (информации)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18F9" w:rsidRPr="00CC6CE9" w:rsidTr="00D47AEB">
        <w:trPr>
          <w:trHeight w:val="495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Назначенные административные наказания</w:t>
            </w:r>
            <w:r w:rsidR="00CC6CE9">
              <w:rPr>
                <w:rFonts w:ascii="Times New Roman" w:hAnsi="Times New Roman"/>
                <w:sz w:val="28"/>
                <w:szCs w:val="28"/>
              </w:rPr>
              <w:t>,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  <w:r w:rsidR="00CC6CE9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C6CE9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6CE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118F9" w:rsidRPr="00CC6CE9" w:rsidTr="00D47AEB">
        <w:trPr>
          <w:trHeight w:val="304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 xml:space="preserve">- предупреждение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C6CE9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6C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18F9" w:rsidRPr="00CC6CE9" w:rsidTr="00D47AEB">
        <w:trPr>
          <w:trHeight w:val="351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>- административный штраф, ед.</w:t>
            </w:r>
            <w:r w:rsidR="00CC6CE9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CE9">
              <w:rPr>
                <w:rFonts w:ascii="Times New Roman" w:hAnsi="Times New Roman"/>
                <w:sz w:val="28"/>
                <w:szCs w:val="28"/>
              </w:rPr>
              <w:t>сумма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6CE9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C6CE9" w:rsidRDefault="001118F9" w:rsidP="00D47A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6CE9">
              <w:rPr>
                <w:rFonts w:ascii="Times New Roman" w:hAnsi="Times New Roman"/>
                <w:sz w:val="28"/>
                <w:szCs w:val="28"/>
              </w:rPr>
              <w:t>16 / 591</w:t>
            </w:r>
            <w:r w:rsidR="00CC6CE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1118F9" w:rsidRPr="00CC6CE9" w:rsidTr="00D47AEB">
        <w:trPr>
          <w:trHeight w:val="317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14B6C" w:rsidRDefault="001118F9" w:rsidP="00D47A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4B6C">
              <w:rPr>
                <w:rFonts w:ascii="Times New Roman" w:hAnsi="Times New Roman"/>
                <w:sz w:val="28"/>
                <w:szCs w:val="28"/>
              </w:rPr>
              <w:t xml:space="preserve"> Оплаченные административные штрафы</w:t>
            </w:r>
            <w:r w:rsidR="00CC6CE9">
              <w:rPr>
                <w:rFonts w:ascii="Times New Roman" w:hAnsi="Times New Roman"/>
                <w:sz w:val="28"/>
                <w:szCs w:val="28"/>
              </w:rPr>
              <w:t>, ед./сумма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6CE9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C14B6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Pr="00CC6CE9" w:rsidRDefault="001118F9" w:rsidP="00D47AE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6CE9">
              <w:rPr>
                <w:rFonts w:ascii="Times New Roman" w:hAnsi="Times New Roman"/>
                <w:sz w:val="28"/>
                <w:szCs w:val="28"/>
              </w:rPr>
              <w:t>12 / 439</w:t>
            </w:r>
            <w:r w:rsidR="00CC6CE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1118F9" w:rsidRDefault="001118F9" w:rsidP="001118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18F9" w:rsidRDefault="001118F9" w:rsidP="00513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50A9" w:rsidRPr="00D47AEB" w:rsidRDefault="001050A9" w:rsidP="001050A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7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Показатели деятельности Инспекции в отношении участников строительства, реконструкции, являющихся юридическими лицами </w:t>
      </w:r>
    </w:p>
    <w:p w:rsidR="001050A9" w:rsidRPr="00D47AEB" w:rsidRDefault="001050A9" w:rsidP="001050A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7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индивидуальными предпринимателями </w:t>
      </w:r>
    </w:p>
    <w:p w:rsidR="001050A9" w:rsidRPr="00D47AEB" w:rsidRDefault="001050A9" w:rsidP="001050A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47A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(в соответствии с данными формы № 1-контроль)</w:t>
      </w:r>
    </w:p>
    <w:tbl>
      <w:tblPr>
        <w:tblpPr w:leftFromText="180" w:rightFromText="180" w:vertAnchor="text" w:horzAnchor="margin" w:tblpY="376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4"/>
        <w:gridCol w:w="1882"/>
      </w:tblGrid>
      <w:tr w:rsidR="001050A9" w:rsidRPr="00C14B6C" w:rsidTr="00A41562">
        <w:trPr>
          <w:trHeight w:val="1565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C6CE9" w:rsidRDefault="001050A9" w:rsidP="00CC6C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Проведённые проверки в отношении застройщиков (технич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ских заказчиков), лиц, осуществляющих строительство,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1050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</w:t>
            </w:r>
            <w:r w:rsidRPr="001050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</w:t>
            </w:r>
            <w:r w:rsidRPr="001050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ляющихся юридическими лицами и индивидуальными пре</w:t>
            </w:r>
            <w:r w:rsidRPr="001050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</w:t>
            </w:r>
            <w:r w:rsidRPr="001050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принимателями</w:t>
            </w:r>
            <w:r w:rsidR="00CC6CE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</w:t>
            </w:r>
            <w:r w:rsidRPr="001050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всего, ед. </w:t>
            </w:r>
          </w:p>
          <w:p w:rsidR="001050A9" w:rsidRPr="00C14B6C" w:rsidRDefault="001050A9" w:rsidP="00105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документарные </w:t>
            </w:r>
            <w:r w:rsidRPr="00C1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50A9" w:rsidRPr="00C14B6C" w:rsidRDefault="001050A9" w:rsidP="00105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- выездные </w:t>
            </w:r>
          </w:p>
          <w:p w:rsidR="001050A9" w:rsidRPr="00C14B6C" w:rsidRDefault="004A39E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9" w:rsidRPr="00C14B6C" w:rsidRDefault="001050A9" w:rsidP="00105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0A9" w:rsidRDefault="001050A9" w:rsidP="0010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A9" w:rsidRDefault="001050A9" w:rsidP="0010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A9" w:rsidRPr="001050A9" w:rsidRDefault="001050A9" w:rsidP="00CC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050A9" w:rsidRPr="001050A9" w:rsidRDefault="001050A9" w:rsidP="0010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050A9" w:rsidRPr="004A39E9" w:rsidRDefault="004A39E9" w:rsidP="00105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1050A9" w:rsidRPr="00C14B6C" w:rsidTr="00A41562">
        <w:trPr>
          <w:trHeight w:val="499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4A39E9" w:rsidP="001050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предписаний </w:t>
            </w:r>
            <w:r w:rsidR="001050A9"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4A39E9" w:rsidRDefault="004A39E9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050A9" w:rsidRPr="00C14B6C" w:rsidTr="00A41562">
        <w:trPr>
          <w:trHeight w:val="596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4A39E9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проверок,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которых выявлены правонарушения</w:t>
            </w:r>
            <w:r w:rsidR="001050A9"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, ед. </w:t>
            </w:r>
            <w:r w:rsidR="001050A9" w:rsidRPr="00C1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E9" w:rsidRDefault="004A39E9" w:rsidP="004A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050A9" w:rsidRPr="00C14B6C" w:rsidTr="00A41562">
        <w:trPr>
          <w:trHeight w:val="583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A41562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="001050A9"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1050A9" w:rsidRPr="00C14B6C">
              <w:rPr>
                <w:rFonts w:ascii="Times New Roman" w:hAnsi="Times New Roman" w:cs="Times New Roman"/>
                <w:sz w:val="28"/>
                <w:szCs w:val="28"/>
              </w:rPr>
              <w:t>нарушения, ед.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A41562" w:rsidRDefault="00A41562" w:rsidP="0010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050A9" w:rsidRPr="00C14B6C" w:rsidTr="00A41562">
        <w:trPr>
          <w:trHeight w:val="257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Pr="00C14B6C" w:rsidRDefault="00A41562" w:rsidP="001050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по итогам которых по фактам выявленных нарушений наложены административные наказ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r w:rsidR="001050A9" w:rsidRPr="00C14B6C">
              <w:rPr>
                <w:rFonts w:ascii="Times New Roman" w:hAnsi="Times New Roman" w:cs="Times New Roman"/>
                <w:sz w:val="28"/>
                <w:szCs w:val="28"/>
              </w:rPr>
              <w:t xml:space="preserve">, ед.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62" w:rsidRDefault="00A41562" w:rsidP="00105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A9" w:rsidRPr="00A41562" w:rsidRDefault="00A41562" w:rsidP="00A415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1050A9" w:rsidRPr="00C14B6C" w:rsidTr="00A41562">
        <w:trPr>
          <w:trHeight w:val="915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F9" w:rsidRDefault="00A41562" w:rsidP="001118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5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Общее количество административных наказаний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наложе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по итогам проверок, </w:t>
            </w:r>
            <w:r w:rsidR="00CC6C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  <w:r w:rsidR="001118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118F9" w:rsidRPr="00A41562" w:rsidRDefault="001118F9" w:rsidP="001050A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A9" w:rsidRDefault="001050A9" w:rsidP="00A41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1562" w:rsidRPr="00A41562" w:rsidRDefault="00A41562" w:rsidP="00A41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1118F9" w:rsidRPr="00C14B6C" w:rsidTr="00CC6CE9">
        <w:trPr>
          <w:trHeight w:val="405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9" w:rsidRPr="00A41562" w:rsidRDefault="00CC6CE9" w:rsidP="001050A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118F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9" w:rsidRDefault="00CC6CE9" w:rsidP="00A41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118F9" w:rsidRPr="00C14B6C" w:rsidTr="00CC6CE9">
        <w:trPr>
          <w:trHeight w:val="45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9" w:rsidRPr="00A41562" w:rsidRDefault="001118F9" w:rsidP="00CC6CE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административный штраф</w:t>
            </w:r>
            <w:r w:rsidR="00CC6CE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C6CE9" w:rsidRPr="00C14B6C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  <w:r w:rsidR="00CC6CE9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CC6CE9" w:rsidRPr="00C14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CE9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CC6CE9" w:rsidRPr="00C14B6C">
              <w:rPr>
                <w:rFonts w:ascii="Times New Roman" w:hAnsi="Times New Roman"/>
                <w:sz w:val="28"/>
                <w:szCs w:val="28"/>
              </w:rPr>
              <w:t>,</w:t>
            </w:r>
            <w:r w:rsidR="00CC6CE9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CC6CE9" w:rsidRPr="00C14B6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9" w:rsidRDefault="00CC6CE9" w:rsidP="00A41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13/539,0</w:t>
            </w:r>
          </w:p>
        </w:tc>
      </w:tr>
      <w:tr w:rsidR="001118F9" w:rsidRPr="00C14B6C" w:rsidTr="00A41562">
        <w:trPr>
          <w:trHeight w:val="915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9" w:rsidRPr="00A41562" w:rsidRDefault="00CC6CE9" w:rsidP="001050A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Общая сумма уплаченных (взысканных) административных штрафов, тыс. руб.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9" w:rsidRDefault="00CC6CE9" w:rsidP="00A41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329,0</w:t>
            </w:r>
          </w:p>
        </w:tc>
      </w:tr>
    </w:tbl>
    <w:p w:rsidR="0068337C" w:rsidRPr="0051307A" w:rsidRDefault="0068337C" w:rsidP="00513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1562" w:rsidRDefault="00A41562" w:rsidP="00277D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26B91" w:rsidRDefault="0051307A" w:rsidP="00277D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39DB8A" wp14:editId="46A7F70D">
            <wp:extent cx="5937250" cy="3200400"/>
            <wp:effectExtent l="0" t="0" r="254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18F9" w:rsidRDefault="001118F9" w:rsidP="00277D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1307A" w:rsidRDefault="008B2922" w:rsidP="00277D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3A2294" wp14:editId="694D8E69">
            <wp:extent cx="5937250" cy="2844800"/>
            <wp:effectExtent l="0" t="0" r="2540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7982" w:rsidRDefault="00C77982" w:rsidP="0009431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431E" w:rsidRDefault="0009431E" w:rsidP="0009431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43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Общая сумма наложенных административных штрафов (тыс. рублей)</w:t>
      </w:r>
    </w:p>
    <w:p w:rsidR="0051307A" w:rsidRDefault="0051307A" w:rsidP="00277D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CFA444" wp14:editId="03DD8D9D">
            <wp:extent cx="5937662" cy="2345377"/>
            <wp:effectExtent l="0" t="0" r="2540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6CE9" w:rsidRDefault="00CC6CE9" w:rsidP="005C57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07A" w:rsidRDefault="008B2922" w:rsidP="005C57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6CDF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374A226B" wp14:editId="32174062">
            <wp:extent cx="5940425" cy="3297492"/>
            <wp:effectExtent l="0" t="0" r="2222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4DAB" w:rsidRPr="00C14B6C" w:rsidRDefault="008F4DAB" w:rsidP="008F4D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14B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Результаты мероприятий по региональному государственному стро</w:t>
      </w:r>
      <w:r w:rsidRPr="00C14B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C14B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тельному надзору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территории </w:t>
      </w:r>
      <w:r w:rsidRPr="00C14B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амчатского края,</w:t>
      </w:r>
      <w:r w:rsidRPr="00C14B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том числе в судебном порядке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не обжаловались.</w:t>
      </w:r>
    </w:p>
    <w:p w:rsidR="00C14B6C" w:rsidRDefault="00C14B6C" w:rsidP="00277D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6D4A" w:rsidRDefault="00C74E55" w:rsidP="00E06D4A">
      <w:pPr>
        <w:pStyle w:val="a5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Общее к</w:t>
      </w:r>
      <w:r w:rsidR="008F4DAB">
        <w:rPr>
          <w:rFonts w:eastAsiaTheme="minorEastAsia"/>
          <w:b/>
          <w:sz w:val="28"/>
          <w:szCs w:val="28"/>
        </w:rPr>
        <w:t xml:space="preserve">оличество выданных предостережений, </w:t>
      </w:r>
      <w:r>
        <w:rPr>
          <w:rFonts w:eastAsiaTheme="minorEastAsia"/>
          <w:b/>
          <w:sz w:val="28"/>
          <w:szCs w:val="28"/>
        </w:rPr>
        <w:t xml:space="preserve">из них количество </w:t>
      </w:r>
      <w:r w:rsidR="008F4DAB">
        <w:rPr>
          <w:rFonts w:eastAsiaTheme="minorEastAsia"/>
          <w:b/>
          <w:sz w:val="28"/>
          <w:szCs w:val="28"/>
        </w:rPr>
        <w:t>пол</w:t>
      </w:r>
      <w:r w:rsidR="008F4DAB">
        <w:rPr>
          <w:rFonts w:eastAsiaTheme="minorEastAsia"/>
          <w:b/>
          <w:sz w:val="28"/>
          <w:szCs w:val="28"/>
        </w:rPr>
        <w:t>у</w:t>
      </w:r>
      <w:r w:rsidR="008F4DAB">
        <w:rPr>
          <w:rFonts w:eastAsiaTheme="minorEastAsia"/>
          <w:b/>
          <w:sz w:val="28"/>
          <w:szCs w:val="28"/>
        </w:rPr>
        <w:t>ченных на них ответов</w:t>
      </w:r>
      <w:r>
        <w:rPr>
          <w:rFonts w:eastAsiaTheme="minorEastAsia"/>
          <w:b/>
          <w:sz w:val="28"/>
          <w:szCs w:val="28"/>
        </w:rPr>
        <w:t xml:space="preserve"> </w:t>
      </w:r>
      <w:r w:rsidR="00B47C83">
        <w:rPr>
          <w:rFonts w:eastAsiaTheme="minorEastAsia"/>
          <w:b/>
          <w:sz w:val="28"/>
          <w:szCs w:val="28"/>
        </w:rPr>
        <w:t>о</w:t>
      </w:r>
      <w:r w:rsidR="008F4DAB">
        <w:rPr>
          <w:rFonts w:eastAsiaTheme="minorEastAsia"/>
          <w:b/>
          <w:sz w:val="28"/>
          <w:szCs w:val="28"/>
        </w:rPr>
        <w:t>б устранении нарушений и возражений</w:t>
      </w:r>
    </w:p>
    <w:p w:rsidR="00C14B6C" w:rsidRPr="00E06D4A" w:rsidRDefault="00C14B6C" w:rsidP="00E06D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431E" w:rsidRDefault="00B47C83" w:rsidP="00277D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261696" wp14:editId="7C3D4763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D48" w:rsidRPr="00DE0D48" w:rsidRDefault="00DE0D48" w:rsidP="00E06D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07A" w:rsidRDefault="008F4DAB" w:rsidP="008F4D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Наиболее часто встречающиеся случаи нарушений обязательных треб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ваний</w:t>
      </w:r>
    </w:p>
    <w:p w:rsidR="008F4DAB" w:rsidRDefault="008F4DAB" w:rsidP="008F4D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4679"/>
        <w:gridCol w:w="4218"/>
      </w:tblGrid>
      <w:tr w:rsidR="00C24788" w:rsidTr="002D36CC">
        <w:tc>
          <w:tcPr>
            <w:tcW w:w="674" w:type="dxa"/>
          </w:tcPr>
          <w:p w:rsidR="00C24788" w:rsidRPr="00C24788" w:rsidRDefault="00C24788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C2478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C2478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/п №</w:t>
            </w:r>
          </w:p>
        </w:tc>
        <w:tc>
          <w:tcPr>
            <w:tcW w:w="4679" w:type="dxa"/>
          </w:tcPr>
          <w:p w:rsidR="00C24788" w:rsidRPr="00C24788" w:rsidRDefault="00C24788" w:rsidP="00C2478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2478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Норма права </w:t>
            </w:r>
          </w:p>
        </w:tc>
        <w:tc>
          <w:tcPr>
            <w:tcW w:w="4218" w:type="dxa"/>
          </w:tcPr>
          <w:p w:rsidR="00C24788" w:rsidRPr="00C24788" w:rsidRDefault="00C24788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 чем выражается нарушение</w:t>
            </w:r>
          </w:p>
        </w:tc>
      </w:tr>
      <w:tr w:rsidR="00C24788" w:rsidTr="002D36CC">
        <w:tc>
          <w:tcPr>
            <w:tcW w:w="674" w:type="dxa"/>
          </w:tcPr>
          <w:p w:rsidR="00C24788" w:rsidRPr="00C24788" w:rsidRDefault="00C24788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247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</w:tcPr>
          <w:p w:rsidR="00C24788" w:rsidRPr="002D36CC" w:rsidRDefault="002D36CC" w:rsidP="002D36C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r w:rsidR="00C24788" w:rsidRPr="002D36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ч. 6 ст. 52 Градостроительного к</w:t>
            </w:r>
            <w:r w:rsidR="00C24788" w:rsidRPr="002D36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="00C24788" w:rsidRPr="002D36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декса Российской Федерации (далее – </w:t>
            </w:r>
            <w:proofErr w:type="spellStart"/>
            <w:r w:rsidR="00C24788" w:rsidRPr="002D36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="00C24788" w:rsidRPr="002D36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РФ) </w:t>
            </w:r>
          </w:p>
        </w:tc>
        <w:tc>
          <w:tcPr>
            <w:tcW w:w="4218" w:type="dxa"/>
          </w:tcPr>
          <w:p w:rsidR="00C24788" w:rsidRPr="00C24788" w:rsidRDefault="008659B7" w:rsidP="008659B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</w:t>
            </w:r>
            <w:r w:rsidR="00C24788" w:rsidRPr="00C247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Нарушение требований пр</w:t>
            </w:r>
            <w:r w:rsidR="00C24788" w:rsidRPr="00C247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="00C24788" w:rsidRPr="00C247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ектной документации</w:t>
            </w:r>
          </w:p>
        </w:tc>
      </w:tr>
      <w:tr w:rsidR="00E71F25" w:rsidTr="00F007D3">
        <w:tc>
          <w:tcPr>
            <w:tcW w:w="674" w:type="dxa"/>
          </w:tcPr>
          <w:p w:rsidR="00E71F25" w:rsidRPr="00C24788" w:rsidRDefault="00E71F25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247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</w:tcPr>
          <w:p w:rsidR="00E71F25" w:rsidRPr="00C74E55" w:rsidRDefault="00E71F25" w:rsidP="002D36C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ч.ч</w:t>
            </w:r>
            <w:proofErr w:type="spellEnd"/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6, 9 ст. 52 </w:t>
            </w:r>
            <w:proofErr w:type="spellStart"/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РФ;</w:t>
            </w:r>
          </w:p>
          <w:p w:rsidR="00E71F25" w:rsidRPr="00C74E55" w:rsidRDefault="00E71F25" w:rsidP="002D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- Требования к составу и порядку ведения исполнительной документ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ции при строительстве, реконстру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ции, капитальном ремонте объектов капитального строительства и тр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бований, предъявляемых к актам освидетельствования работ, ко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струкций, участков сетей инжене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но-технического обеспечения (РД-11-02-2006), утвержденные прик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зом </w:t>
            </w:r>
            <w:proofErr w:type="spellStart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от 26.12.2006 N 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1128;</w:t>
            </w:r>
          </w:p>
          <w:p w:rsidR="00E71F25" w:rsidRPr="00C74E55" w:rsidRDefault="00E71F25" w:rsidP="00E71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- Порядок ведения общего и (или) специального журнала учета выпо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нения работ при строительстве, р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конструкции, капитальном ремонте объектов капитального строител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ства (РД-11-05-2007), утвержденный приказом </w:t>
            </w:r>
            <w:proofErr w:type="spellStart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от 12.01.2007 N 7;</w:t>
            </w:r>
          </w:p>
          <w:p w:rsidR="0081728A" w:rsidRPr="00C74E55" w:rsidRDefault="0081728A" w:rsidP="00817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54248" w:rsidRPr="00C74E55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8241F7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1F7" w:rsidRPr="00C74E5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954248" w:rsidRPr="00C74E55">
              <w:rPr>
                <w:rFonts w:ascii="Times New Roman" w:hAnsi="Times New Roman" w:cs="Times New Roman"/>
                <w:sz w:val="28"/>
                <w:szCs w:val="28"/>
              </w:rPr>
              <w:t>.11.17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СП 70.13330.2012. Свод правил. Нес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щие и ограждающие конструкции. Актуализированная редакция СНиП 3.03.01-87, утвержденного приказом Госстроя от 25.12.2012 N 109/ГС</w:t>
            </w:r>
          </w:p>
          <w:p w:rsidR="0081728A" w:rsidRPr="00C74E55" w:rsidRDefault="0081728A" w:rsidP="00E71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F25" w:rsidRPr="00C74E55" w:rsidRDefault="00E71F25" w:rsidP="00E71F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534E6" w:rsidRPr="00C74E55" w:rsidRDefault="008659B7" w:rsidP="008659B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Несвоевременное, ненадл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жащее оформление исполн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тельной документации</w:t>
            </w:r>
            <w:r w:rsidR="005534E6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в том числе а</w:t>
            </w:r>
            <w:r w:rsidR="005534E6" w:rsidRPr="00C74E55">
              <w:rPr>
                <w:rFonts w:ascii="Times New Roman" w:hAnsi="Times New Roman" w:cs="Times New Roman"/>
                <w:sz w:val="28"/>
                <w:szCs w:val="28"/>
              </w:rPr>
              <w:t>ктов освидетельствов</w:t>
            </w:r>
            <w:r w:rsidR="005534E6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34E6" w:rsidRPr="00C74E55">
              <w:rPr>
                <w:rFonts w:ascii="Times New Roman" w:hAnsi="Times New Roman" w:cs="Times New Roman"/>
                <w:sz w:val="28"/>
                <w:szCs w:val="28"/>
              </w:rPr>
              <w:t>ния геодезической разбивочной основы объекта капитального строительства, актов разбивки осей объекта капитального стр</w:t>
            </w:r>
            <w:r w:rsidR="005534E6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34E6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ительства на местности </w:t>
            </w:r>
          </w:p>
          <w:p w:rsidR="008659B7" w:rsidRPr="00C74E55" w:rsidRDefault="00E71F25" w:rsidP="008659B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заполнение общего и спец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ального журналов работ.</w:t>
            </w:r>
          </w:p>
          <w:p w:rsidR="008659B7" w:rsidRPr="00C74E55" w:rsidRDefault="00E71F25" w:rsidP="008659B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8659B7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Отсутствие всех необход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мых подписей уполномоченных лиц и записей в указанных д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кументах.</w:t>
            </w:r>
          </w:p>
          <w:p w:rsidR="00E71F25" w:rsidRPr="00C74E55" w:rsidRDefault="008659B7" w:rsidP="008659B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Несогласованность дат и п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риодов выполнения одних и тех же работ в исполнительной д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="00E71F25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кументации и журналах.</w:t>
            </w:r>
          </w:p>
          <w:p w:rsidR="00EE66B9" w:rsidRPr="00C74E55" w:rsidRDefault="00EE66B9" w:rsidP="00EE66B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Использование устаревших форм специальных журналов.</w:t>
            </w:r>
          </w:p>
          <w:p w:rsidR="0081728A" w:rsidRPr="00C74E55" w:rsidRDefault="0081728A" w:rsidP="00EE66B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</w:t>
            </w:r>
            <w:r w:rsidR="00246A53"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ведение</w:t>
            </w:r>
            <w:proofErr w:type="gramEnd"/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журналов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монтажу строительных ко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струкций, сварочных работ, 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тикоррозионной защиты сва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ных соединений, </w:t>
            </w:r>
            <w:proofErr w:type="spellStart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замоноличив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монтажных стыков и узлов</w:t>
            </w:r>
            <w:hyperlink r:id="rId12" w:history="1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, выполнения монтажных соед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нений на болтах с контролиру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мым натяжением, журнала б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тонных работ, </w:t>
            </w:r>
            <w:r w:rsidR="00954248" w:rsidRPr="00C74E55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4248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температуры бетона.</w:t>
            </w:r>
          </w:p>
          <w:p w:rsidR="0081728A" w:rsidRPr="00C74E55" w:rsidRDefault="0081728A" w:rsidP="00EE66B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534E6" w:rsidTr="00F007D3">
        <w:tc>
          <w:tcPr>
            <w:tcW w:w="674" w:type="dxa"/>
          </w:tcPr>
          <w:p w:rsidR="005534E6" w:rsidRPr="00C24788" w:rsidRDefault="005534E6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79" w:type="dxa"/>
          </w:tcPr>
          <w:p w:rsidR="00B45E97" w:rsidRDefault="00B45E97" w:rsidP="00B45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4 СП 48.13330.2011. Свод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вил. Организация строительства. Актуализированная редакция СНиП 12-01-2004,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27.12.2010 N 781</w:t>
            </w:r>
          </w:p>
          <w:p w:rsidR="005534E6" w:rsidRPr="00C24788" w:rsidRDefault="005534E6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B45E97" w:rsidRDefault="008659B7" w:rsidP="00B45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F6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выполнение базовых функций застройщика, а именно:</w:t>
            </w:r>
          </w:p>
          <w:p w:rsidR="00B45E97" w:rsidRDefault="00B45E97" w:rsidP="00B45E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права ограниченн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пользования соседними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мельными участками (сервит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тов) на время строительства;</w:t>
            </w:r>
          </w:p>
          <w:p w:rsidR="00B45E97" w:rsidRDefault="00B45E97" w:rsidP="00B45E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строительства проектной документацией,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шедшей экспертизу и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жденной в установленном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рядке;</w:t>
            </w:r>
          </w:p>
          <w:p w:rsidR="00B45E97" w:rsidRDefault="00757B01" w:rsidP="00757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обеспечение выноса в натуру линий регулирования застройки и создание геодезической разб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вочной основы;</w:t>
            </w:r>
          </w:p>
          <w:p w:rsidR="00B45E97" w:rsidRDefault="00757B01" w:rsidP="00757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извещение о начале любых р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бот на строительной площадке органа государственного стро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5E97">
              <w:rPr>
                <w:rFonts w:ascii="Times New Roman" w:hAnsi="Times New Roman" w:cs="Times New Roman"/>
                <w:sz w:val="28"/>
                <w:szCs w:val="28"/>
              </w:rPr>
              <w:t>тельного надзора,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контролен данный объект.</w:t>
            </w:r>
          </w:p>
          <w:p w:rsidR="005534E6" w:rsidRPr="00C24788" w:rsidRDefault="005534E6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E1F59" w:rsidTr="00F007D3">
        <w:tc>
          <w:tcPr>
            <w:tcW w:w="674" w:type="dxa"/>
          </w:tcPr>
          <w:p w:rsidR="005E1F59" w:rsidRPr="00C24788" w:rsidRDefault="005E1F59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</w:tcPr>
          <w:p w:rsidR="005E1F59" w:rsidRDefault="005E1F59" w:rsidP="005E1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44 Порядка организации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государственной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 проектной документации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зультатов инженерных изысканий, утвержденного постановлением Правительства РФ от 05.03.2007 N 145</w:t>
            </w:r>
          </w:p>
          <w:p w:rsidR="005E1F59" w:rsidRPr="00C24788" w:rsidRDefault="005E1F59" w:rsidP="005E1F59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E1F59" w:rsidRDefault="008659B7" w:rsidP="005E1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5E1F59">
              <w:rPr>
                <w:rFonts w:ascii="Times New Roman" w:hAnsi="Times New Roman" w:cs="Times New Roman"/>
                <w:sz w:val="28"/>
                <w:szCs w:val="28"/>
              </w:rPr>
              <w:t xml:space="preserve">Не направление проектной документации на повторную государственную экспертизу </w:t>
            </w:r>
          </w:p>
          <w:p w:rsidR="005E1F59" w:rsidRDefault="005E1F59" w:rsidP="005E1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внесении изменений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ектную документацию,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чившую положительное закл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государственной экспе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тизы, в части изменения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решений, которые затр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гивают конструктивные и другие характеристики безопасности объекта капитального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  <w:p w:rsidR="005E1F59" w:rsidRPr="00C24788" w:rsidRDefault="005E1F59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8D1A96" w:rsidTr="00F007D3">
        <w:tc>
          <w:tcPr>
            <w:tcW w:w="674" w:type="dxa"/>
          </w:tcPr>
          <w:p w:rsidR="008D1A96" w:rsidRPr="00C24788" w:rsidRDefault="008D1A96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79" w:type="dxa"/>
          </w:tcPr>
          <w:p w:rsidR="008D1A96" w:rsidRDefault="008D1A96" w:rsidP="008D1A9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ч. 5 ст. 52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</w:t>
            </w:r>
            <w:r w:rsidR="008659B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</w:p>
          <w:p w:rsidR="008659B7" w:rsidRDefault="008659B7" w:rsidP="00865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5 Порядка проведения проверок при осуществлении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строительного надзора и выдачи заключений о соответствии постр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енных, реконструированных, 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монтированных объектов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строительства требованиям технических регламентов (норм и правил), иных нормативных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актов, проектной документации (РД-11-04-2006),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26.12.2006 N 1129</w:t>
            </w:r>
          </w:p>
          <w:p w:rsidR="008659B7" w:rsidRPr="00C24788" w:rsidRDefault="008659B7" w:rsidP="00865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8659B7" w:rsidRDefault="008659B7" w:rsidP="008D1A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D1A96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выполнение обязанности застройщика или технического заказчика заблаговременно, но не </w:t>
            </w:r>
            <w:proofErr w:type="gramStart"/>
            <w:r w:rsidR="008D1A9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8D1A96">
              <w:rPr>
                <w:rFonts w:ascii="Times New Roman" w:hAnsi="Times New Roman" w:cs="Times New Roman"/>
                <w:sz w:val="28"/>
                <w:szCs w:val="28"/>
              </w:rPr>
              <w:t xml:space="preserve"> чем за семь рабочих дней до начала строительства, реконструкции объекта кап</w:t>
            </w:r>
            <w:r w:rsidR="008D1A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A96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строительства, напр</w:t>
            </w:r>
            <w:r w:rsidR="008D1A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A96">
              <w:rPr>
                <w:rFonts w:ascii="Times New Roman" w:hAnsi="Times New Roman" w:cs="Times New Roman"/>
                <w:sz w:val="28"/>
                <w:szCs w:val="28"/>
              </w:rPr>
              <w:t>вить в Инспекцию ГСН Камча</w:t>
            </w:r>
            <w:r w:rsidR="008D1A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1A96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8D1A9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извещение</w:t>
              </w:r>
            </w:hyperlink>
            <w:r w:rsidR="008D1A96">
              <w:rPr>
                <w:rFonts w:ascii="Times New Roman" w:hAnsi="Times New Roman" w:cs="Times New Roman"/>
                <w:sz w:val="28"/>
                <w:szCs w:val="28"/>
              </w:rPr>
              <w:t xml:space="preserve"> о начале таких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659B7" w:rsidRDefault="008659B7" w:rsidP="008D1A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Отсутствие в указанном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вещении всех необходимых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дений.       </w:t>
            </w:r>
          </w:p>
          <w:p w:rsidR="008D1A96" w:rsidRPr="00C24788" w:rsidRDefault="008659B7" w:rsidP="00865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 представление вместе с указанным извещением всех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обходимых документов.</w:t>
            </w:r>
          </w:p>
        </w:tc>
      </w:tr>
      <w:tr w:rsidR="001C7492" w:rsidTr="00F007D3">
        <w:tc>
          <w:tcPr>
            <w:tcW w:w="674" w:type="dxa"/>
          </w:tcPr>
          <w:p w:rsidR="001C7492" w:rsidRPr="00C24788" w:rsidRDefault="001C7492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9" w:type="dxa"/>
          </w:tcPr>
          <w:p w:rsidR="001C7492" w:rsidRDefault="001C7492" w:rsidP="00EE6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п. 7.3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21.1101-2013.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ональный стандарт Российской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дерации. Система проектной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ментации для строительства.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требования к </w:t>
            </w:r>
            <w:r w:rsidR="00EE66B9">
              <w:rPr>
                <w:rFonts w:ascii="Times New Roman" w:hAnsi="Times New Roman" w:cs="Times New Roman"/>
                <w:sz w:val="28"/>
                <w:szCs w:val="28"/>
              </w:rPr>
              <w:t>проектной и раб</w:t>
            </w:r>
            <w:r w:rsidR="00EE66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66B9">
              <w:rPr>
                <w:rFonts w:ascii="Times New Roman" w:hAnsi="Times New Roman" w:cs="Times New Roman"/>
                <w:sz w:val="28"/>
                <w:szCs w:val="28"/>
              </w:rPr>
              <w:t xml:space="preserve">чей документации, </w:t>
            </w:r>
            <w:proofErr w:type="gramStart"/>
            <w:r w:rsidR="00EE66B9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 w:rsidR="00EE66B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11.06.2013 N 156-ст</w:t>
            </w:r>
          </w:p>
          <w:p w:rsidR="001C7492" w:rsidRPr="00C24788" w:rsidRDefault="001C7492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1C7492" w:rsidRPr="00C24788" w:rsidRDefault="00EE66B9" w:rsidP="00EE66B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Ненадлежащее оформление изменений, внесенных в проек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ную документацию</w:t>
            </w:r>
          </w:p>
        </w:tc>
      </w:tr>
      <w:tr w:rsidR="002F151D" w:rsidTr="00F007D3">
        <w:tc>
          <w:tcPr>
            <w:tcW w:w="674" w:type="dxa"/>
          </w:tcPr>
          <w:p w:rsidR="002F151D" w:rsidRPr="00C24788" w:rsidRDefault="002F151D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9" w:type="dxa"/>
          </w:tcPr>
          <w:p w:rsidR="002F151D" w:rsidRDefault="002F151D" w:rsidP="002F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п. 6.2.8.1 СП 48.13330.2011. Свод правил. Организация строительства. Актуализированная редакция СНиП 12-01-2004,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27.12.2010 N 781</w:t>
            </w:r>
          </w:p>
          <w:p w:rsidR="002F151D" w:rsidRPr="00C24788" w:rsidRDefault="002F151D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2F151D" w:rsidRPr="00C74E55" w:rsidRDefault="009E3203" w:rsidP="002F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Отсутствие при въезде на строительную площадку инфо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мационных щитов 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с указанием наименования объекта, названия застройщика (технического з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казчика) исполнителя работ (подрядчика, ге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подрядчика), фамилий, должн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стей и номеров телефонов ответственного пр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изводителя работ по объекту и представителя органа гос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уда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ственного строительного надз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6A53" w:rsidRPr="00C74E5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2F151D" w:rsidRPr="00C74E55">
              <w:rPr>
                <w:rFonts w:ascii="Times New Roman" w:hAnsi="Times New Roman" w:cs="Times New Roman"/>
                <w:sz w:val="28"/>
                <w:szCs w:val="28"/>
              </w:rPr>
              <w:t>, сроков начала и окончания работ, схемы объекта.</w:t>
            </w:r>
          </w:p>
          <w:p w:rsidR="002F151D" w:rsidRPr="00C24788" w:rsidRDefault="002F151D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F76C5" w:rsidTr="00F007D3">
        <w:tc>
          <w:tcPr>
            <w:tcW w:w="674" w:type="dxa"/>
          </w:tcPr>
          <w:p w:rsidR="00FF76C5" w:rsidRDefault="00FF76C5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79" w:type="dxa"/>
          </w:tcPr>
          <w:p w:rsidR="00FF76C5" w:rsidRDefault="00FF76C5" w:rsidP="00FF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5.3.5 СП 70.13330.2012. Свод правил. Несущие и ограждающие конструкции. Актуализированная редакция СНиП 3.03.01-87,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жденного приказом Госстроя от 25.12.2012 N 109/ГС</w:t>
            </w:r>
          </w:p>
          <w:p w:rsidR="00FF76C5" w:rsidRDefault="00FF76C5" w:rsidP="002F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E47EE" w:rsidRPr="00C74E55" w:rsidRDefault="00FF76C5" w:rsidP="00EE4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выполнение </w:t>
            </w:r>
            <w:r w:rsidR="00D3293E" w:rsidRPr="00C74E55">
              <w:rPr>
                <w:rFonts w:ascii="Times New Roman" w:hAnsi="Times New Roman" w:cs="Times New Roman"/>
                <w:sz w:val="28"/>
                <w:szCs w:val="28"/>
              </w:rPr>
              <w:t>в железоб</w:t>
            </w:r>
            <w:r w:rsidR="00D3293E"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293E" w:rsidRPr="00C74E55">
              <w:rPr>
                <w:rFonts w:ascii="Times New Roman" w:hAnsi="Times New Roman" w:cs="Times New Roman"/>
                <w:sz w:val="28"/>
                <w:szCs w:val="28"/>
              </w:rPr>
              <w:t>тонных и армированных ко</w:t>
            </w:r>
            <w:r w:rsidR="00D3293E"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293E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струкциях 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проверки состояния ранее установленной арматуры перед бетонированием на соо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ветствие рабочим чертежам. </w:t>
            </w:r>
          </w:p>
          <w:p w:rsidR="00EE47EE" w:rsidRPr="00C74E55" w:rsidRDefault="00FF76C5" w:rsidP="00FF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Не выполнение</w:t>
            </w:r>
            <w:proofErr w:type="gramEnd"/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в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пусков арматуры, закладных ч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стей и элементов уплотнения</w:t>
            </w:r>
            <w:r w:rsidR="00EE47EE" w:rsidRPr="00C74E55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>от ржавчины и следов бетона</w:t>
            </w:r>
          </w:p>
          <w:p w:rsidR="00FF76C5" w:rsidRPr="00C74E55" w:rsidRDefault="00FF76C5" w:rsidP="00C74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5F" w:rsidTr="00F007D3">
        <w:tc>
          <w:tcPr>
            <w:tcW w:w="674" w:type="dxa"/>
          </w:tcPr>
          <w:p w:rsidR="00C85C5F" w:rsidRDefault="00C85C5F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9" w:type="dxa"/>
          </w:tcPr>
          <w:p w:rsidR="00C85C5F" w:rsidRDefault="00C85C5F" w:rsidP="00C8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5.4 СП 48.13330.2011. Свод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вил. Организация строительства. Актуализированная редакция СНиП 12-01-2004,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27.12.2010 N 781</w:t>
            </w:r>
          </w:p>
          <w:p w:rsidR="00C85C5F" w:rsidRDefault="00C85C5F" w:rsidP="00FF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D6A4C" w:rsidRPr="00C74E55" w:rsidRDefault="00C85C5F" w:rsidP="00C8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E47EE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4D6A4C" w:rsidRPr="00C74E55">
              <w:rPr>
                <w:rFonts w:ascii="Times New Roman" w:hAnsi="Times New Roman" w:cs="Times New Roman"/>
                <w:sz w:val="28"/>
                <w:szCs w:val="28"/>
              </w:rPr>
              <w:t>допуска з</w:t>
            </w:r>
            <w:r w:rsidR="004D6A4C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6A4C" w:rsidRPr="00C74E55">
              <w:rPr>
                <w:rFonts w:ascii="Times New Roman" w:hAnsi="Times New Roman" w:cs="Times New Roman"/>
                <w:sz w:val="28"/>
                <w:szCs w:val="28"/>
              </w:rPr>
              <w:t>стройщиком (техническим з</w:t>
            </w:r>
            <w:r w:rsidR="004D6A4C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6A4C" w:rsidRPr="00C74E55">
              <w:rPr>
                <w:rFonts w:ascii="Times New Roman" w:hAnsi="Times New Roman" w:cs="Times New Roman"/>
                <w:sz w:val="28"/>
                <w:szCs w:val="28"/>
              </w:rPr>
              <w:t>казчиком) проектной и рабочей документации к производству работ с подписью ответственн</w:t>
            </w:r>
            <w:r w:rsidR="004D6A4C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6A4C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го лица путём простановки штампа на каждом </w:t>
            </w:r>
            <w:r w:rsidR="00D90416" w:rsidRPr="00C74E55">
              <w:rPr>
                <w:rFonts w:ascii="Times New Roman" w:hAnsi="Times New Roman" w:cs="Times New Roman"/>
                <w:sz w:val="28"/>
                <w:szCs w:val="28"/>
              </w:rPr>
              <w:t>листе до п</w:t>
            </w:r>
            <w:r w:rsidR="00D90416"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0416" w:rsidRPr="00C74E55">
              <w:rPr>
                <w:rFonts w:ascii="Times New Roman" w:hAnsi="Times New Roman" w:cs="Times New Roman"/>
                <w:sz w:val="28"/>
                <w:szCs w:val="28"/>
              </w:rPr>
              <w:t>редачи такой документации л</w:t>
            </w:r>
            <w:r w:rsidR="00D90416" w:rsidRPr="00C74E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0416" w:rsidRPr="00C74E55">
              <w:rPr>
                <w:rFonts w:ascii="Times New Roman" w:hAnsi="Times New Roman" w:cs="Times New Roman"/>
                <w:sz w:val="28"/>
                <w:szCs w:val="28"/>
              </w:rPr>
              <w:t>цу, осуществляющему стро</w:t>
            </w:r>
            <w:r w:rsidR="00D90416" w:rsidRPr="00C74E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0416" w:rsidRPr="00C74E55">
              <w:rPr>
                <w:rFonts w:ascii="Times New Roman" w:hAnsi="Times New Roman" w:cs="Times New Roman"/>
                <w:sz w:val="28"/>
                <w:szCs w:val="28"/>
              </w:rPr>
              <w:t>тельство.</w:t>
            </w:r>
          </w:p>
          <w:p w:rsidR="00C85C5F" w:rsidRPr="00C74E55" w:rsidRDefault="00C85C5F" w:rsidP="00FF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FBA" w:rsidTr="00F007D3">
        <w:tc>
          <w:tcPr>
            <w:tcW w:w="674" w:type="dxa"/>
          </w:tcPr>
          <w:p w:rsidR="00A84FBA" w:rsidRDefault="00A84FBA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9" w:type="dxa"/>
          </w:tcPr>
          <w:p w:rsidR="00A84FBA" w:rsidRDefault="00A84FBA" w:rsidP="00A8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п. 6.2.6 СП 48.13330.2011. Свод правил. Организация строительства. Актуализированная редакция СНиП 12-01-2004,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27.12.2010 N 781</w:t>
            </w:r>
          </w:p>
          <w:p w:rsidR="00A84FBA" w:rsidRDefault="00A84FBA" w:rsidP="00C8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84FBA" w:rsidRDefault="00A84FBA" w:rsidP="00A8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630D8" w:rsidRPr="00C74E55">
              <w:rPr>
                <w:rFonts w:ascii="Times New Roman" w:hAnsi="Times New Roman" w:cs="Times New Roman"/>
                <w:sz w:val="28"/>
                <w:szCs w:val="28"/>
              </w:rPr>
              <w:t>Не обеспечивается л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ицом, осуществляющим строительство,  уборка территории стройпл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щадки и пятиметровой прилег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ющей зоны. </w:t>
            </w:r>
            <w:r w:rsidR="003630D8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Не вывозятся </w:t>
            </w:r>
            <w:r w:rsidR="003630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 строительный мусор, а также снег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временно в сроки и в порядке, установленны</w:t>
            </w:r>
            <w:r w:rsid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ганом местного самоуправл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A84FBA" w:rsidRDefault="00A84FBA" w:rsidP="00C8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0BE" w:rsidTr="00F007D3">
        <w:tc>
          <w:tcPr>
            <w:tcW w:w="674" w:type="dxa"/>
          </w:tcPr>
          <w:p w:rsidR="004C20BE" w:rsidRDefault="004C20BE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9" w:type="dxa"/>
          </w:tcPr>
          <w:p w:rsidR="004C20BE" w:rsidRPr="00C74E55" w:rsidRDefault="004C20BE" w:rsidP="004C2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- п. 6.10 СП 48.13330.2011. Свод правил. Организация строительства. Актуализированная редакция СНиП 12-01-2004, </w:t>
            </w:r>
            <w:proofErr w:type="gramStart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proofErr w:type="spellStart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Минрегиона</w:t>
            </w:r>
            <w:proofErr w:type="spellEnd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РФ от 27.12.2010 N 781</w:t>
            </w:r>
          </w:p>
          <w:p w:rsidR="004C20BE" w:rsidRPr="00C74E55" w:rsidRDefault="004C20BE" w:rsidP="00A8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436F3" w:rsidRPr="00C74E55" w:rsidRDefault="004C20BE" w:rsidP="00C74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Нарушение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>требований стандартов и технических усл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вий при 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>складировании и хр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>нении применяемых (покупных и изготавливаемых собственн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436F3" w:rsidRPr="00C74E55">
              <w:rPr>
                <w:rFonts w:ascii="Times New Roman" w:hAnsi="Times New Roman" w:cs="Times New Roman"/>
                <w:sz w:val="28"/>
                <w:szCs w:val="28"/>
              </w:rPr>
              <w:t>ми силами) материалов, изделий и конструкций.</w:t>
            </w:r>
          </w:p>
        </w:tc>
      </w:tr>
      <w:tr w:rsidR="004C20BE" w:rsidTr="00F007D3">
        <w:tc>
          <w:tcPr>
            <w:tcW w:w="674" w:type="dxa"/>
          </w:tcPr>
          <w:p w:rsidR="004C20BE" w:rsidRDefault="00DF2BF4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12</w:t>
            </w:r>
            <w:r w:rsidR="004C20B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679" w:type="dxa"/>
          </w:tcPr>
          <w:p w:rsidR="00B30215" w:rsidRPr="00C74E55" w:rsidRDefault="00B30215" w:rsidP="00DF2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- ч. 6 ст. 52 </w:t>
            </w:r>
            <w:proofErr w:type="spellStart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C74E55" w:rsidRPr="00C74E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обяза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ности лица, осуществляющего стр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ительство, обеспечивать безопа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ность работ для третьих лиц и окр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жающей среды и выполнение треб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ваний безопасности труда;</w:t>
            </w:r>
          </w:p>
          <w:p w:rsidR="00DF2BF4" w:rsidRPr="00C74E55" w:rsidRDefault="00F91B44" w:rsidP="00DF2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- п. 6.1.1 СНиП 12-03-2001</w:t>
            </w:r>
            <w:r w:rsidR="00DF2BF4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«Бе</w:t>
            </w:r>
            <w:r w:rsidR="00DF2BF4" w:rsidRPr="00C74E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2BF4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труда в строительстве. Часть 1. Общие требования», </w:t>
            </w:r>
            <w:proofErr w:type="gramStart"/>
            <w:r w:rsidR="00DF2BF4" w:rsidRPr="00C74E55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="00DF2BF4" w:rsidRPr="00C74E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F2BF4" w:rsidRPr="00C74E55"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proofErr w:type="gramEnd"/>
            <w:r w:rsidR="00DF2BF4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Госстроя РФ от 23.07.2001 N 80</w:t>
            </w:r>
          </w:p>
          <w:p w:rsidR="004C20BE" w:rsidRPr="00C74E55" w:rsidRDefault="004C20BE" w:rsidP="004C2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C20BE" w:rsidRPr="00C74E55" w:rsidRDefault="00C74E55" w:rsidP="004C2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E79C7" w:rsidRPr="00C74E55">
              <w:rPr>
                <w:rFonts w:ascii="Times New Roman" w:hAnsi="Times New Roman" w:cs="Times New Roman"/>
                <w:sz w:val="28"/>
                <w:szCs w:val="28"/>
              </w:rPr>
              <w:t>Отсутствие акта о соотве</w:t>
            </w:r>
            <w:r w:rsidR="006E79C7" w:rsidRPr="00C74E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E79C7" w:rsidRPr="00C74E55">
              <w:rPr>
                <w:rFonts w:ascii="Times New Roman" w:hAnsi="Times New Roman" w:cs="Times New Roman"/>
                <w:sz w:val="28"/>
                <w:szCs w:val="28"/>
              </w:rPr>
              <w:t>ствии выполненных внеплощ</w:t>
            </w:r>
            <w:r w:rsidR="006E79C7" w:rsidRPr="00C74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79C7" w:rsidRPr="00C74E55">
              <w:rPr>
                <w:rFonts w:ascii="Times New Roman" w:hAnsi="Times New Roman" w:cs="Times New Roman"/>
                <w:sz w:val="28"/>
                <w:szCs w:val="28"/>
              </w:rPr>
              <w:t>дочных и внутриплощадочных  подготовительных</w:t>
            </w:r>
            <w:r w:rsidR="00F007D3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9C7" w:rsidRPr="00C74E5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F007D3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треб</w:t>
            </w:r>
            <w:r w:rsidR="00F007D3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07D3" w:rsidRPr="00C74E55">
              <w:rPr>
                <w:rFonts w:ascii="Times New Roman" w:hAnsi="Times New Roman" w:cs="Times New Roman"/>
                <w:sz w:val="28"/>
                <w:szCs w:val="28"/>
              </w:rPr>
              <w:t>ваниям безопасности труда</w:t>
            </w:r>
            <w:r w:rsidR="00F91B44" w:rsidRPr="00C74E55">
              <w:rPr>
                <w:rFonts w:ascii="Times New Roman" w:hAnsi="Times New Roman" w:cs="Times New Roman"/>
                <w:sz w:val="28"/>
                <w:szCs w:val="28"/>
              </w:rPr>
              <w:t>, оформле</w:t>
            </w:r>
            <w:r w:rsidR="00F91B44"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1B44" w:rsidRPr="00C74E55">
              <w:rPr>
                <w:rFonts w:ascii="Times New Roman" w:hAnsi="Times New Roman" w:cs="Times New Roman"/>
                <w:sz w:val="28"/>
                <w:szCs w:val="28"/>
              </w:rPr>
              <w:t>ного в соответствии с прилож</w:t>
            </w:r>
            <w:r w:rsidR="00F91B44"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1B44" w:rsidRPr="00C74E55">
              <w:rPr>
                <w:rFonts w:ascii="Times New Roman" w:hAnsi="Times New Roman" w:cs="Times New Roman"/>
                <w:sz w:val="28"/>
                <w:szCs w:val="28"/>
              </w:rPr>
              <w:t>нием «И» СНиП 12-03-2001 «Безопасность труда в строительстве. Часть 1. Общие треб</w:t>
            </w:r>
            <w:r w:rsidR="00F91B44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1B44" w:rsidRPr="00C74E55">
              <w:rPr>
                <w:rFonts w:ascii="Times New Roman" w:hAnsi="Times New Roman" w:cs="Times New Roman"/>
                <w:sz w:val="28"/>
                <w:szCs w:val="28"/>
              </w:rPr>
              <w:t>вания»</w:t>
            </w:r>
          </w:p>
        </w:tc>
      </w:tr>
      <w:tr w:rsidR="00DF2BF4" w:rsidTr="00F007D3">
        <w:tc>
          <w:tcPr>
            <w:tcW w:w="674" w:type="dxa"/>
          </w:tcPr>
          <w:p w:rsidR="00DF2BF4" w:rsidRDefault="00DF2BF4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9" w:type="dxa"/>
          </w:tcPr>
          <w:p w:rsidR="00DF2BF4" w:rsidRDefault="00DF2BF4" w:rsidP="00DF2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3.3 СП 70.13330.2012. Свод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вил. Несущие и ограждающие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струкции. Актуализированная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дакция СНиП 3.03.01-87,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жденного приказом Госстроя от 25.12.2012 N 109/ГС</w:t>
            </w:r>
          </w:p>
          <w:p w:rsidR="00DF2BF4" w:rsidRDefault="00DF2BF4" w:rsidP="00DF2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F2BF4" w:rsidRDefault="00DF2BF4" w:rsidP="00BA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проекта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работ, в том числе, при 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производств</w:t>
            </w:r>
            <w:r w:rsidR="008241F7"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2576" w:rsidRPr="008241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работ по бетон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рованию, армированию и уходу за бетоном.</w:t>
            </w:r>
          </w:p>
        </w:tc>
      </w:tr>
      <w:tr w:rsidR="00BA2576" w:rsidTr="00F007D3">
        <w:tc>
          <w:tcPr>
            <w:tcW w:w="674" w:type="dxa"/>
          </w:tcPr>
          <w:p w:rsidR="00BA2576" w:rsidRDefault="00BA2576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9" w:type="dxa"/>
          </w:tcPr>
          <w:p w:rsidR="00BA2576" w:rsidRDefault="00BA2576" w:rsidP="00DF2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ст. 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РФ;</w:t>
            </w:r>
          </w:p>
          <w:p w:rsidR="00BA2576" w:rsidRDefault="00BA2576" w:rsidP="00BA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 xml:space="preserve">п.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о проведении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ительного контроля при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лении строительства, реконструкции и капитального ремонта объектов капитального строительства,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жденного постановлением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РФ от 21.06.2010 N 468</w:t>
            </w:r>
          </w:p>
          <w:p w:rsidR="00BA2576" w:rsidRDefault="00BA2576" w:rsidP="00BA2576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F3377" w:rsidRPr="00C74E55" w:rsidRDefault="00BA2576" w:rsidP="00AF33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F3377" w:rsidRPr="00C74E55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ос</w:t>
            </w:r>
            <w:r w:rsidR="00AF3377" w:rsidRPr="00C74E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3377" w:rsidRPr="00C74E55">
              <w:rPr>
                <w:rFonts w:ascii="Times New Roman" w:hAnsi="Times New Roman" w:cs="Times New Roman"/>
                <w:sz w:val="28"/>
                <w:szCs w:val="28"/>
              </w:rPr>
              <w:t>ществление  подрядчиком стр</w:t>
            </w:r>
            <w:r w:rsidR="00AF3377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3377" w:rsidRPr="00C74E55">
              <w:rPr>
                <w:rFonts w:ascii="Times New Roman" w:hAnsi="Times New Roman" w:cs="Times New Roman"/>
                <w:sz w:val="28"/>
                <w:szCs w:val="28"/>
              </w:rPr>
              <w:t>ительного контроля, в том числе при  проведении следующих контрольных мероприятий:</w:t>
            </w:r>
          </w:p>
          <w:p w:rsidR="00BA2576" w:rsidRDefault="00AF3377" w:rsidP="00BA2576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проверка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стро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тельных материалов, изделий, конструкций и оборудования, поставленных для строительства объекта капитального стро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(входной контроль)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2576" w:rsidRDefault="00AF3377" w:rsidP="00BA2576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проверка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установленных норм и правил складирования и хранения пр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меняемой продукции;</w:t>
            </w:r>
          </w:p>
          <w:p w:rsidR="00BA2576" w:rsidRDefault="00AF3377" w:rsidP="00BA2576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проверка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п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следовательности и состава те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нологических операций при осуществлении строительства объекта капитального стро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BA2576" w:rsidRDefault="00BA2576" w:rsidP="00BA2576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совместного с заказчиком</w:t>
            </w:r>
            <w:r w:rsidR="00AF3377">
              <w:rPr>
                <w:rFonts w:ascii="Times New Roman" w:hAnsi="Times New Roman" w:cs="Times New Roman"/>
                <w:sz w:val="28"/>
                <w:szCs w:val="28"/>
              </w:rPr>
              <w:t xml:space="preserve"> освидетельствование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работ, скрываемых последующими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ботами, и промежуточной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емки возведенных строительных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конструкций, влияющих на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объекта капитального строительства, участков сетей инженерно-технического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печения;</w:t>
            </w:r>
          </w:p>
          <w:p w:rsidR="00BA2576" w:rsidRDefault="00AF3377" w:rsidP="00BA2576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приемка</w:t>
            </w:r>
            <w:r w:rsidR="00BA257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аконченных в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дов (этапов) работ;</w:t>
            </w:r>
          </w:p>
          <w:p w:rsidR="00E94D0E" w:rsidRDefault="00E94D0E" w:rsidP="00BA2576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Несвоевременное и нена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лежащее документирование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 проведенного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контроля, в том числе при заполнении исполнительной документации и общего журнала работ.</w:t>
            </w:r>
          </w:p>
          <w:p w:rsidR="00BA2576" w:rsidRDefault="00BA2576" w:rsidP="00BA2576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D0E" w:rsidTr="00F007D3">
        <w:tc>
          <w:tcPr>
            <w:tcW w:w="674" w:type="dxa"/>
          </w:tcPr>
          <w:p w:rsidR="00E94D0E" w:rsidRDefault="00E94D0E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679" w:type="dxa"/>
          </w:tcPr>
          <w:p w:rsidR="00E94D0E" w:rsidRDefault="00E94D0E" w:rsidP="00E9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ст. 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РФ;</w:t>
            </w:r>
          </w:p>
          <w:p w:rsidR="00E94D0E" w:rsidRDefault="00E94D0E" w:rsidP="00E9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 6 Положения о проведении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ительного контроля при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лении строительства, реконструкции и капитального ремонта объектов капитального строительства,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жденного постановлением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РФ от 21.06.2010 N 468</w:t>
            </w:r>
          </w:p>
          <w:p w:rsidR="00E94D0E" w:rsidRDefault="00E94D0E" w:rsidP="00DF2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94D0E" w:rsidRPr="00C74E55" w:rsidRDefault="00C74E55" w:rsidP="00E94D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2DDD" w:rsidRPr="00C74E55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осуществление застройщиком (техническим заказчиком) стр</w:t>
            </w:r>
            <w:r w:rsidR="00EF2DDD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2DDD" w:rsidRPr="00C74E55">
              <w:rPr>
                <w:rFonts w:ascii="Times New Roman" w:hAnsi="Times New Roman" w:cs="Times New Roman"/>
                <w:sz w:val="28"/>
                <w:szCs w:val="28"/>
              </w:rPr>
              <w:t>ительного контроля,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D0E" w:rsidRPr="00C74E55">
              <w:rPr>
                <w:rFonts w:ascii="Times New Roman" w:hAnsi="Times New Roman" w:cs="Times New Roman"/>
                <w:sz w:val="28"/>
                <w:szCs w:val="28"/>
              </w:rPr>
              <w:t>в том числе при  проведении следующих контрольных мер</w:t>
            </w:r>
            <w:r w:rsidR="00E94D0E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4D0E" w:rsidRPr="00C74E55">
              <w:rPr>
                <w:rFonts w:ascii="Times New Roman" w:hAnsi="Times New Roman" w:cs="Times New Roman"/>
                <w:sz w:val="28"/>
                <w:szCs w:val="28"/>
              </w:rPr>
              <w:t>приятий:</w:t>
            </w:r>
          </w:p>
          <w:p w:rsidR="00E94D0E" w:rsidRDefault="00EF2DDD" w:rsidP="00E94D0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а) проверка</w:t>
            </w:r>
            <w:r w:rsidR="00E94D0E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полноты  </w:t>
            </w:r>
            <w:r w:rsidR="00ED2FFD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="00ED2FFD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2FFD" w:rsidRPr="00C74E55">
              <w:rPr>
                <w:rFonts w:ascii="Times New Roman" w:hAnsi="Times New Roman" w:cs="Times New Roman"/>
                <w:sz w:val="28"/>
                <w:szCs w:val="28"/>
              </w:rPr>
              <w:t>блюдения установленных сроков (до момента применения пр</w:t>
            </w:r>
            <w:r w:rsidR="00ED2FFD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2FFD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дукции) </w:t>
            </w:r>
            <w:r w:rsidR="00E94D0E" w:rsidRPr="00C74E55">
              <w:rPr>
                <w:rFonts w:ascii="Times New Roman" w:hAnsi="Times New Roman" w:cs="Times New Roman"/>
                <w:sz w:val="28"/>
                <w:szCs w:val="28"/>
              </w:rPr>
              <w:t>выполнения подрядч</w:t>
            </w:r>
            <w:r w:rsidR="00E94D0E" w:rsidRPr="00C74E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4D0E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ком входного 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контроля и дост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верности документирования его результатов;</w:t>
            </w:r>
          </w:p>
          <w:p w:rsidR="00E94D0E" w:rsidRDefault="00EF2DDD" w:rsidP="00E94D0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проверка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подрядчиком контрольных м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роприятий по соблюдению пр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вил складирования и хранения применяемой продукции и д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стоверности документирования его результатов;</w:t>
            </w:r>
          </w:p>
          <w:p w:rsidR="00E94D0E" w:rsidRDefault="00EF2DDD" w:rsidP="00E94D0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проверка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 xml:space="preserve"> полноты </w:t>
            </w:r>
            <w:r w:rsidR="00942E83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="00942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2E83">
              <w:rPr>
                <w:rFonts w:ascii="Times New Roman" w:hAnsi="Times New Roman" w:cs="Times New Roman"/>
                <w:sz w:val="28"/>
                <w:szCs w:val="28"/>
              </w:rPr>
              <w:t xml:space="preserve">блюдения установленных сроков 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выполнения подрядчиком ко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троля последовательности и с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става технологических операций по осуществлению строител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ства объектов капитального строительства и достоверности документирования его результ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4D0E">
              <w:rPr>
                <w:rFonts w:ascii="Times New Roman" w:hAnsi="Times New Roman" w:cs="Times New Roman"/>
                <w:sz w:val="28"/>
                <w:szCs w:val="28"/>
              </w:rPr>
              <w:t>тов;</w:t>
            </w:r>
          </w:p>
          <w:p w:rsidR="00E94D0E" w:rsidRDefault="00E94D0E" w:rsidP="00E94D0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совместного с подрядч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2DDD">
              <w:rPr>
                <w:rFonts w:ascii="Times New Roman" w:hAnsi="Times New Roman" w:cs="Times New Roman"/>
                <w:sz w:val="28"/>
                <w:szCs w:val="28"/>
              </w:rPr>
              <w:t>ком освидетельствование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тых работ и промежуточной приемки возведенных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конструкций, влия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на безопасность объекта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питального строительства, участков сетей инженерно-технического обеспечения.</w:t>
            </w:r>
          </w:p>
          <w:p w:rsidR="00E94D0E" w:rsidRDefault="00E94D0E" w:rsidP="00E94D0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D0E" w:rsidTr="00F007D3">
        <w:tc>
          <w:tcPr>
            <w:tcW w:w="674" w:type="dxa"/>
          </w:tcPr>
          <w:p w:rsidR="00942E83" w:rsidRPr="00942E83" w:rsidRDefault="00AF3377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79" w:type="dxa"/>
          </w:tcPr>
          <w:p w:rsidR="00E94D0E" w:rsidRDefault="009E634F" w:rsidP="00E9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ч. 4 ст. 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РФ;</w:t>
            </w:r>
          </w:p>
          <w:p w:rsidR="009E634F" w:rsidRDefault="009E634F" w:rsidP="009E6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проведения консервации объекта капитального строительства, утвержденные постановлением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РФ от 30.09.2011 N 802.</w:t>
            </w:r>
          </w:p>
          <w:p w:rsidR="009E634F" w:rsidRDefault="009E634F" w:rsidP="00E9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94D0E" w:rsidRDefault="009E634F" w:rsidP="00E94D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Не проведение консервации объекта капитального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 установленном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рядке. </w:t>
            </w:r>
          </w:p>
        </w:tc>
      </w:tr>
      <w:tr w:rsidR="009E634F" w:rsidTr="00F007D3">
        <w:tc>
          <w:tcPr>
            <w:tcW w:w="674" w:type="dxa"/>
          </w:tcPr>
          <w:p w:rsidR="00942E83" w:rsidRPr="00C74E55" w:rsidRDefault="00AF3377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74E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9" w:type="dxa"/>
          </w:tcPr>
          <w:p w:rsidR="009F4330" w:rsidRPr="00C74E55" w:rsidRDefault="009E634F" w:rsidP="009E6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-  ч. 6 ст. 52 </w:t>
            </w:r>
            <w:proofErr w:type="spellStart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700537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обяза</w:t>
            </w:r>
            <w:r w:rsidR="00700537"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0537" w:rsidRPr="00C74E5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AC305A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лица, осуществляющего стр</w:t>
            </w:r>
            <w:r w:rsidR="00AC305A" w:rsidRPr="00C74E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05A" w:rsidRPr="00C74E55">
              <w:rPr>
                <w:rFonts w:ascii="Times New Roman" w:hAnsi="Times New Roman" w:cs="Times New Roman"/>
                <w:sz w:val="28"/>
                <w:szCs w:val="28"/>
              </w:rPr>
              <w:t>ительство, обеспечить устранение выявленных недостатков</w:t>
            </w:r>
            <w:r w:rsidR="009F4330" w:rsidRPr="00C74E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634F" w:rsidRPr="00C74E55" w:rsidRDefault="009F4330" w:rsidP="009E6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- п. 16 РД-11-04-2006,</w:t>
            </w:r>
            <w:r w:rsidR="00700537" w:rsidRPr="00C7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в части об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занности лица, осуществляющего строительство, направить в устано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ленный срок в орган государстве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ного строительного надзора извещ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4E55">
              <w:rPr>
                <w:rFonts w:ascii="Times New Roman" w:hAnsi="Times New Roman" w:cs="Times New Roman"/>
                <w:sz w:val="28"/>
                <w:szCs w:val="28"/>
              </w:rPr>
              <w:t>ния об устранении выявленных нарушений.</w:t>
            </w:r>
          </w:p>
          <w:p w:rsidR="009E634F" w:rsidRPr="00C74E55" w:rsidRDefault="009E634F" w:rsidP="00E9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E634F" w:rsidRDefault="009E634F" w:rsidP="009E63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 выполнение, не своевр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менное выполнение законного предписания Инспекции ГСН Камчатского края</w:t>
            </w:r>
          </w:p>
          <w:p w:rsidR="009E634F" w:rsidRDefault="009E634F" w:rsidP="009E63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0F3" w:rsidTr="00F007D3">
        <w:tc>
          <w:tcPr>
            <w:tcW w:w="674" w:type="dxa"/>
          </w:tcPr>
          <w:p w:rsidR="000250F3" w:rsidRPr="001B350B" w:rsidRDefault="000250F3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B350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9" w:type="dxa"/>
          </w:tcPr>
          <w:p w:rsidR="000250F3" w:rsidRPr="001B350B" w:rsidRDefault="000250F3" w:rsidP="009E6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-  ч. 6 ст. 52 </w:t>
            </w:r>
            <w:proofErr w:type="spellStart"/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C74E55" w:rsidRPr="001B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обяза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ности лица, осуществляющего стр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ительство,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устранение выявленных недостатков и не пр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>ступать к продолжению работ до с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актов об устранении </w:t>
            </w:r>
          </w:p>
        </w:tc>
        <w:tc>
          <w:tcPr>
            <w:tcW w:w="4218" w:type="dxa"/>
          </w:tcPr>
          <w:p w:rsidR="000250F3" w:rsidRPr="001B350B" w:rsidRDefault="00C74E55" w:rsidP="009E63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Не обеспечение устранения выявленных недостатков.</w:t>
            </w:r>
          </w:p>
          <w:p w:rsidR="000250F3" w:rsidRPr="001B350B" w:rsidRDefault="00C74E55" w:rsidP="009E63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B4F15" w:rsidRPr="001B350B">
              <w:rPr>
                <w:rFonts w:ascii="Times New Roman" w:hAnsi="Times New Roman" w:cs="Times New Roman"/>
                <w:sz w:val="28"/>
                <w:szCs w:val="28"/>
              </w:rPr>
              <w:t>Не соблюдение запрета приступать к п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родо</w:t>
            </w:r>
            <w:r w:rsidR="004B4F15" w:rsidRPr="001B350B">
              <w:rPr>
                <w:rFonts w:ascii="Times New Roman" w:hAnsi="Times New Roman" w:cs="Times New Roman"/>
                <w:sz w:val="28"/>
                <w:szCs w:val="28"/>
              </w:rPr>
              <w:t>лжению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бот до сост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>авления актов об устранении выявленных нед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0215" w:rsidRPr="001B350B">
              <w:rPr>
                <w:rFonts w:ascii="Times New Roman" w:hAnsi="Times New Roman" w:cs="Times New Roman"/>
                <w:sz w:val="28"/>
                <w:szCs w:val="28"/>
              </w:rPr>
              <w:t>статков.</w:t>
            </w:r>
          </w:p>
        </w:tc>
      </w:tr>
      <w:tr w:rsidR="000250F3" w:rsidTr="00F007D3">
        <w:tc>
          <w:tcPr>
            <w:tcW w:w="674" w:type="dxa"/>
          </w:tcPr>
          <w:p w:rsidR="000250F3" w:rsidRPr="001B350B" w:rsidRDefault="000250F3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B350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9" w:type="dxa"/>
          </w:tcPr>
          <w:p w:rsidR="000250F3" w:rsidRPr="001B350B" w:rsidRDefault="000250F3" w:rsidP="00025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-  ч. 5 ст. 52 </w:t>
            </w:r>
            <w:proofErr w:type="spellStart"/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C74E55" w:rsidRPr="001B35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обяза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ности застройщика или  техническ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го заказчика представлять в орган государственного строительного надзора проектную  документацию в полном объёме,  общий и специал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ные журналы, в которых ведётся учёт выполненных работ</w:t>
            </w:r>
          </w:p>
          <w:p w:rsidR="000250F3" w:rsidRPr="001B350B" w:rsidRDefault="000250F3" w:rsidP="00025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F3" w:rsidRPr="001B350B" w:rsidRDefault="000250F3" w:rsidP="009E6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22CCD" w:rsidRPr="001B350B" w:rsidRDefault="00C74E55" w:rsidP="00822C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Не представление, не сво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временное представление з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стройщиком или  техническим зака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чиком в адрес Инспекции ГСН Камчатского края проек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ной документации, общих и сп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>циаль</w:t>
            </w:r>
            <w:r w:rsidR="00822CCD" w:rsidRPr="001B350B">
              <w:rPr>
                <w:rFonts w:ascii="Times New Roman" w:hAnsi="Times New Roman" w:cs="Times New Roman"/>
                <w:sz w:val="28"/>
                <w:szCs w:val="28"/>
              </w:rPr>
              <w:t>ных журналов, оформле</w:t>
            </w:r>
            <w:r w:rsidR="00822CCD" w:rsidRPr="001B35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2CCD" w:rsidRPr="001B350B">
              <w:rPr>
                <w:rFonts w:ascii="Times New Roman" w:hAnsi="Times New Roman" w:cs="Times New Roman"/>
                <w:sz w:val="28"/>
                <w:szCs w:val="28"/>
              </w:rPr>
              <w:t>ных в установленном порядке.</w:t>
            </w:r>
          </w:p>
          <w:p w:rsidR="000250F3" w:rsidRPr="001B350B" w:rsidRDefault="000250F3" w:rsidP="000250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F3" w:rsidRPr="001B350B" w:rsidRDefault="000250F3" w:rsidP="009E63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4F" w:rsidTr="00F007D3">
        <w:tc>
          <w:tcPr>
            <w:tcW w:w="674" w:type="dxa"/>
          </w:tcPr>
          <w:p w:rsidR="009E634F" w:rsidRPr="001B350B" w:rsidRDefault="000250F3" w:rsidP="008F4D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B350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679" w:type="dxa"/>
          </w:tcPr>
          <w:p w:rsidR="0002475B" w:rsidRPr="001B350B" w:rsidRDefault="00AF3377" w:rsidP="00024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-  ч. 6 </w:t>
            </w:r>
            <w:r w:rsidR="009E634F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ст. 52 </w:t>
            </w:r>
            <w:proofErr w:type="spellStart"/>
            <w:r w:rsidR="009E634F" w:rsidRPr="001B350B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="009E634F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02475B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в части обяза</w:t>
            </w:r>
            <w:r w:rsidR="0002475B" w:rsidRPr="001B35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475B" w:rsidRPr="001B350B">
              <w:rPr>
                <w:rFonts w:ascii="Times New Roman" w:hAnsi="Times New Roman" w:cs="Times New Roman"/>
                <w:sz w:val="28"/>
                <w:szCs w:val="28"/>
              </w:rPr>
              <w:t>ности лица, осуществляющего стр</w:t>
            </w:r>
            <w:r w:rsidR="0002475B" w:rsidRPr="001B35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475B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ительство,  представлять в орган государственного строительного надзора необходимой документации в процессе проверки </w:t>
            </w:r>
          </w:p>
          <w:p w:rsidR="009E634F" w:rsidRPr="001B350B" w:rsidRDefault="009E634F" w:rsidP="009E6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4F" w:rsidRPr="001B350B" w:rsidRDefault="009E634F" w:rsidP="009E6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E634F" w:rsidRPr="001B350B" w:rsidRDefault="009E634F" w:rsidP="009E63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      Не представление, не сво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представление </w:t>
            </w:r>
            <w:r w:rsidR="000250F3" w:rsidRPr="001B350B">
              <w:rPr>
                <w:rFonts w:ascii="Times New Roman" w:hAnsi="Times New Roman" w:cs="Times New Roman"/>
                <w:sz w:val="28"/>
                <w:szCs w:val="28"/>
              </w:rPr>
              <w:t xml:space="preserve">лицом, осуществляющим строительство, 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в адрес Инспекции ГСН Камча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ского края, исполнительной д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кументации на выполненный объем работ, общих и специал</w:t>
            </w:r>
            <w:r w:rsidRPr="001B35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22CCD" w:rsidRPr="001B350B">
              <w:rPr>
                <w:rFonts w:ascii="Times New Roman" w:hAnsi="Times New Roman" w:cs="Times New Roman"/>
                <w:sz w:val="28"/>
                <w:szCs w:val="28"/>
              </w:rPr>
              <w:t>ных журналов, оформленных в установленном порядке.</w:t>
            </w:r>
          </w:p>
          <w:p w:rsidR="009E634F" w:rsidRPr="001B350B" w:rsidRDefault="009E634F" w:rsidP="009E63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DAB" w:rsidRDefault="008F4DAB" w:rsidP="008F4D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75C4C" w:rsidRDefault="00CE4D48" w:rsidP="009E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4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CE4D48" w:rsidRDefault="00CE4D48" w:rsidP="009E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4C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="009E634F" w:rsidRPr="00675C4C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мероприятий </w:t>
      </w:r>
      <w:r w:rsidR="008E7368" w:rsidRPr="00675C4C">
        <w:rPr>
          <w:rFonts w:ascii="Times New Roman" w:hAnsi="Times New Roman" w:cs="Times New Roman"/>
          <w:b/>
          <w:sz w:val="28"/>
          <w:szCs w:val="28"/>
        </w:rPr>
        <w:t>по профилактике наруш</w:t>
      </w:r>
      <w:r w:rsidR="008E7368" w:rsidRPr="00675C4C">
        <w:rPr>
          <w:rFonts w:ascii="Times New Roman" w:hAnsi="Times New Roman" w:cs="Times New Roman"/>
          <w:b/>
          <w:sz w:val="28"/>
          <w:szCs w:val="28"/>
        </w:rPr>
        <w:t>е</w:t>
      </w:r>
      <w:r w:rsidR="008E7368" w:rsidRPr="00675C4C">
        <w:rPr>
          <w:rFonts w:ascii="Times New Roman" w:hAnsi="Times New Roman" w:cs="Times New Roman"/>
          <w:b/>
          <w:sz w:val="28"/>
          <w:szCs w:val="28"/>
        </w:rPr>
        <w:t xml:space="preserve">ний обязательных требований </w:t>
      </w:r>
      <w:r w:rsidR="00675C4C" w:rsidRPr="00675C4C">
        <w:rPr>
          <w:rFonts w:ascii="Times New Roman" w:hAnsi="Times New Roman" w:cs="Times New Roman"/>
          <w:b/>
          <w:sz w:val="28"/>
          <w:szCs w:val="28"/>
        </w:rPr>
        <w:t>в сфере осуществления регионального государственного строительного надзора на территории Камчатского края</w:t>
      </w:r>
    </w:p>
    <w:p w:rsidR="00675C4C" w:rsidRDefault="00675C4C" w:rsidP="009E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45"/>
        <w:gridCol w:w="1813"/>
        <w:gridCol w:w="2238"/>
        <w:gridCol w:w="1675"/>
      </w:tblGrid>
      <w:tr w:rsidR="00082FFE" w:rsidRPr="00082FFE" w:rsidTr="00675C4C">
        <w:tc>
          <w:tcPr>
            <w:tcW w:w="3940" w:type="dxa"/>
          </w:tcPr>
          <w:p w:rsidR="00675C4C" w:rsidRPr="00CF24A9" w:rsidRDefault="00675C4C" w:rsidP="00F00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1839" w:type="dxa"/>
          </w:tcPr>
          <w:p w:rsidR="00675C4C" w:rsidRPr="00CF24A9" w:rsidRDefault="00675C4C" w:rsidP="00F00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п</w:t>
            </w: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казатель </w:t>
            </w:r>
          </w:p>
          <w:p w:rsidR="00675C4C" w:rsidRPr="00CF24A9" w:rsidRDefault="00675C4C" w:rsidP="00675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состоянию на 01.01.2018</w:t>
            </w:r>
          </w:p>
        </w:tc>
        <w:tc>
          <w:tcPr>
            <w:tcW w:w="2149" w:type="dxa"/>
          </w:tcPr>
          <w:p w:rsidR="00675C4C" w:rsidRPr="00CF24A9" w:rsidRDefault="00675C4C" w:rsidP="00675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Запланированный показатель р</w:t>
            </w: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зультативности</w:t>
            </w:r>
          </w:p>
        </w:tc>
        <w:tc>
          <w:tcPr>
            <w:tcW w:w="1643" w:type="dxa"/>
          </w:tcPr>
          <w:p w:rsidR="00675C4C" w:rsidRPr="00CF24A9" w:rsidRDefault="00675C4C" w:rsidP="00675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Достигнутый </w:t>
            </w:r>
            <w:r w:rsidR="00CF24A9" w:rsidRPr="00CF24A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(целевой) </w:t>
            </w: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</w:p>
          <w:p w:rsidR="00675C4C" w:rsidRPr="00CF24A9" w:rsidRDefault="00675C4C" w:rsidP="00675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состо</w:t>
            </w: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F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нию на 31.12.2018</w:t>
            </w:r>
          </w:p>
        </w:tc>
      </w:tr>
      <w:tr w:rsidR="00675C4C" w:rsidRPr="00082FFE" w:rsidTr="00675C4C">
        <w:tc>
          <w:tcPr>
            <w:tcW w:w="3940" w:type="dxa"/>
          </w:tcPr>
          <w:p w:rsidR="00675C4C" w:rsidRPr="00082FFE" w:rsidRDefault="00675C4C" w:rsidP="00F0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Общее количество выявле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ных нарушений нормативных правовых актов или отдел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ных их частей, содержащих обязательные требования</w:t>
            </w:r>
          </w:p>
        </w:tc>
        <w:tc>
          <w:tcPr>
            <w:tcW w:w="183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594</w:t>
            </w:r>
          </w:p>
        </w:tc>
        <w:tc>
          <w:tcPr>
            <w:tcW w:w="214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564 (-5%)</w:t>
            </w:r>
          </w:p>
        </w:tc>
        <w:tc>
          <w:tcPr>
            <w:tcW w:w="1643" w:type="dxa"/>
            <w:vAlign w:val="center"/>
          </w:tcPr>
          <w:p w:rsidR="00675C4C" w:rsidRPr="00082FFE" w:rsidRDefault="00675C4C" w:rsidP="00675C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564</w:t>
            </w:r>
          </w:p>
        </w:tc>
      </w:tr>
      <w:tr w:rsidR="00675C4C" w:rsidRPr="00082FFE" w:rsidTr="00675C4C">
        <w:tc>
          <w:tcPr>
            <w:tcW w:w="3940" w:type="dxa"/>
          </w:tcPr>
          <w:p w:rsidR="00675C4C" w:rsidRPr="00082FFE" w:rsidRDefault="00675C4C" w:rsidP="00F0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Общее количество выданных предписаний об устранении нарушений нормативных правовых актов или отдел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ных их частей, содержащих обязательные требования</w:t>
            </w:r>
          </w:p>
        </w:tc>
        <w:tc>
          <w:tcPr>
            <w:tcW w:w="183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214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143 (-5%)</w:t>
            </w:r>
          </w:p>
        </w:tc>
        <w:tc>
          <w:tcPr>
            <w:tcW w:w="1643" w:type="dxa"/>
            <w:vAlign w:val="center"/>
          </w:tcPr>
          <w:p w:rsidR="00675C4C" w:rsidRPr="00082FFE" w:rsidRDefault="00675C4C" w:rsidP="00675C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</w:tr>
      <w:tr w:rsidR="00675C4C" w:rsidRPr="00082FFE" w:rsidTr="00675C4C">
        <w:tc>
          <w:tcPr>
            <w:tcW w:w="3940" w:type="dxa"/>
          </w:tcPr>
          <w:p w:rsidR="00675C4C" w:rsidRPr="00082FFE" w:rsidRDefault="00675C4C" w:rsidP="00F0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Общее количество выявле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ных правонарушений</w:t>
            </w:r>
          </w:p>
        </w:tc>
        <w:tc>
          <w:tcPr>
            <w:tcW w:w="183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14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52 (-5%)</w:t>
            </w:r>
          </w:p>
        </w:tc>
        <w:tc>
          <w:tcPr>
            <w:tcW w:w="1643" w:type="dxa"/>
            <w:vAlign w:val="center"/>
          </w:tcPr>
          <w:p w:rsidR="00675C4C" w:rsidRPr="00082FFE" w:rsidRDefault="00675C4C" w:rsidP="00675C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675C4C" w:rsidRPr="00082FFE" w:rsidTr="00675C4C">
        <w:tc>
          <w:tcPr>
            <w:tcW w:w="3940" w:type="dxa"/>
          </w:tcPr>
          <w:p w:rsidR="00675C4C" w:rsidRPr="00082FFE" w:rsidRDefault="00675C4C" w:rsidP="00F0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подна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зорных субъектов, привл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2FFE">
              <w:rPr>
                <w:rFonts w:ascii="Times New Roman" w:hAnsi="Times New Roman" w:cs="Times New Roman"/>
                <w:sz w:val="28"/>
                <w:szCs w:val="28"/>
              </w:rPr>
              <w:t>ченных к административной ответственности</w:t>
            </w:r>
          </w:p>
        </w:tc>
        <w:tc>
          <w:tcPr>
            <w:tcW w:w="183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149" w:type="dxa"/>
            <w:vAlign w:val="center"/>
          </w:tcPr>
          <w:p w:rsidR="00675C4C" w:rsidRPr="00082FFE" w:rsidRDefault="00675C4C" w:rsidP="00F007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21 (-5%)</w:t>
            </w:r>
          </w:p>
        </w:tc>
        <w:tc>
          <w:tcPr>
            <w:tcW w:w="1643" w:type="dxa"/>
            <w:vAlign w:val="center"/>
          </w:tcPr>
          <w:p w:rsidR="00675C4C" w:rsidRPr="00082FFE" w:rsidRDefault="00675C4C" w:rsidP="00675C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FE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</w:tbl>
    <w:p w:rsidR="00675C4C" w:rsidRDefault="00675C4C" w:rsidP="009E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8E0" w:rsidRDefault="00675C4C" w:rsidP="005C5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574E">
        <w:rPr>
          <w:rFonts w:ascii="Times New Roman" w:hAnsi="Times New Roman" w:cs="Times New Roman"/>
          <w:sz w:val="28"/>
          <w:szCs w:val="28"/>
        </w:rPr>
        <w:t>По результатам проведения надзорных мероприятий с применением мероприятий по профилактике нарушений обязательных требований</w:t>
      </w:r>
      <w:r w:rsidR="00082FFE" w:rsidRPr="005C574E">
        <w:rPr>
          <w:rFonts w:ascii="Times New Roman" w:hAnsi="Times New Roman" w:cs="Times New Roman"/>
          <w:sz w:val="28"/>
          <w:szCs w:val="28"/>
        </w:rPr>
        <w:t>, цел</w:t>
      </w:r>
      <w:r w:rsidR="00082FFE" w:rsidRPr="005C574E">
        <w:rPr>
          <w:rFonts w:ascii="Times New Roman" w:hAnsi="Times New Roman" w:cs="Times New Roman"/>
          <w:sz w:val="28"/>
          <w:szCs w:val="28"/>
        </w:rPr>
        <w:t>е</w:t>
      </w:r>
      <w:r w:rsidR="00082FFE" w:rsidRPr="005C574E">
        <w:rPr>
          <w:rFonts w:ascii="Times New Roman" w:hAnsi="Times New Roman" w:cs="Times New Roman"/>
          <w:sz w:val="28"/>
          <w:szCs w:val="28"/>
        </w:rPr>
        <w:t xml:space="preserve">вые показатели результативности Программы </w:t>
      </w:r>
      <w:r w:rsidR="005C574E" w:rsidRPr="005C574E">
        <w:rPr>
          <w:rFonts w:ascii="Times New Roman" w:hAnsi="Times New Roman" w:cs="Times New Roman"/>
          <w:sz w:val="28"/>
          <w:szCs w:val="28"/>
        </w:rPr>
        <w:t>профилактики</w:t>
      </w:r>
      <w:r w:rsidR="005C574E">
        <w:rPr>
          <w:rFonts w:ascii="Times New Roman" w:hAnsi="Times New Roman" w:cs="Times New Roman"/>
          <w:sz w:val="28"/>
          <w:szCs w:val="28"/>
        </w:rPr>
        <w:t>, в целом, д</w:t>
      </w:r>
      <w:r w:rsidR="005C574E">
        <w:rPr>
          <w:rFonts w:ascii="Times New Roman" w:hAnsi="Times New Roman" w:cs="Times New Roman"/>
          <w:sz w:val="28"/>
          <w:szCs w:val="28"/>
        </w:rPr>
        <w:t>о</w:t>
      </w:r>
      <w:r w:rsidR="005C574E">
        <w:rPr>
          <w:rFonts w:ascii="Times New Roman" w:hAnsi="Times New Roman" w:cs="Times New Roman"/>
          <w:sz w:val="28"/>
          <w:szCs w:val="28"/>
        </w:rPr>
        <w:t xml:space="preserve">стигнуты. </w:t>
      </w:r>
    </w:p>
    <w:p w:rsidR="00675C4C" w:rsidRPr="001B350B" w:rsidRDefault="005C574E" w:rsidP="0082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bookmarkStart w:id="0" w:name="_GoBack"/>
      <w:r w:rsidRPr="001B350B">
        <w:rPr>
          <w:rFonts w:ascii="Times New Roman" w:hAnsi="Times New Roman" w:cs="Times New Roman"/>
          <w:sz w:val="28"/>
          <w:szCs w:val="28"/>
        </w:rPr>
        <w:t>запланированным</w:t>
      </w:r>
      <w:r w:rsidR="00994057" w:rsidRPr="001B350B">
        <w:rPr>
          <w:rFonts w:ascii="Times New Roman" w:hAnsi="Times New Roman" w:cs="Times New Roman"/>
          <w:sz w:val="28"/>
          <w:szCs w:val="28"/>
        </w:rPr>
        <w:t>и</w:t>
      </w:r>
      <w:r w:rsidRPr="001B350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94057" w:rsidRPr="001B350B">
        <w:rPr>
          <w:rFonts w:ascii="Times New Roman" w:hAnsi="Times New Roman" w:cs="Times New Roman"/>
          <w:sz w:val="28"/>
          <w:szCs w:val="28"/>
        </w:rPr>
        <w:t>ями</w:t>
      </w:r>
      <w:r w:rsidR="00822CCD" w:rsidRPr="001B350B">
        <w:rPr>
          <w:rFonts w:ascii="Times New Roman" w:hAnsi="Times New Roman" w:cs="Times New Roman"/>
          <w:sz w:val="28"/>
          <w:szCs w:val="28"/>
        </w:rPr>
        <w:t xml:space="preserve"> результативности (-5%)</w:t>
      </w:r>
      <w:r w:rsidR="00C358E0" w:rsidRPr="001B350B">
        <w:rPr>
          <w:rFonts w:ascii="Times New Roman" w:hAnsi="Times New Roman" w:cs="Times New Roman"/>
          <w:sz w:val="28"/>
          <w:szCs w:val="28"/>
        </w:rPr>
        <w:t xml:space="preserve"> </w:t>
      </w:r>
      <w:r w:rsidRPr="001B350B">
        <w:rPr>
          <w:rFonts w:ascii="Times New Roman" w:hAnsi="Times New Roman" w:cs="Times New Roman"/>
          <w:sz w:val="28"/>
          <w:szCs w:val="28"/>
        </w:rPr>
        <w:t>общее количество выявленных нарушений норм</w:t>
      </w:r>
      <w:r w:rsidRPr="001B350B">
        <w:rPr>
          <w:rFonts w:ascii="Times New Roman" w:hAnsi="Times New Roman" w:cs="Times New Roman"/>
          <w:sz w:val="28"/>
          <w:szCs w:val="28"/>
        </w:rPr>
        <w:t>а</w:t>
      </w:r>
      <w:r w:rsidRPr="001B350B">
        <w:rPr>
          <w:rFonts w:ascii="Times New Roman" w:hAnsi="Times New Roman" w:cs="Times New Roman"/>
          <w:sz w:val="28"/>
          <w:szCs w:val="28"/>
        </w:rPr>
        <w:t>тивных правовых актов или отдельных их частей, содержащих обязательные требования</w:t>
      </w:r>
      <w:r w:rsidR="00822CCD" w:rsidRPr="001B350B">
        <w:rPr>
          <w:rFonts w:ascii="Times New Roman" w:hAnsi="Times New Roman" w:cs="Times New Roman"/>
          <w:sz w:val="28"/>
          <w:szCs w:val="28"/>
        </w:rPr>
        <w:t>,</w:t>
      </w:r>
      <w:r w:rsidR="001B350B" w:rsidRPr="001B350B">
        <w:rPr>
          <w:rFonts w:ascii="Times New Roman" w:hAnsi="Times New Roman" w:cs="Times New Roman"/>
          <w:sz w:val="28"/>
          <w:szCs w:val="28"/>
        </w:rPr>
        <w:t xml:space="preserve"> </w:t>
      </w:r>
      <w:r w:rsidR="001B350B" w:rsidRPr="001B350B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1B350B" w:rsidRPr="001B350B">
        <w:rPr>
          <w:rFonts w:ascii="Times New Roman" w:hAnsi="Times New Roman" w:cs="Times New Roman"/>
          <w:sz w:val="28"/>
          <w:szCs w:val="28"/>
        </w:rPr>
        <w:t>на 30 ед. О</w:t>
      </w:r>
      <w:r w:rsidRPr="001B350B">
        <w:rPr>
          <w:rFonts w:ascii="Times New Roman" w:hAnsi="Times New Roman" w:cs="Times New Roman"/>
          <w:sz w:val="28"/>
          <w:szCs w:val="28"/>
        </w:rPr>
        <w:t>бщее количество выданных предписаний об устранении наруш</w:t>
      </w:r>
      <w:r w:rsidRPr="001B350B">
        <w:rPr>
          <w:rFonts w:ascii="Times New Roman" w:hAnsi="Times New Roman" w:cs="Times New Roman"/>
          <w:sz w:val="28"/>
          <w:szCs w:val="28"/>
        </w:rPr>
        <w:t>е</w:t>
      </w:r>
      <w:r w:rsidRPr="001B350B">
        <w:rPr>
          <w:rFonts w:ascii="Times New Roman" w:hAnsi="Times New Roman" w:cs="Times New Roman"/>
          <w:sz w:val="28"/>
          <w:szCs w:val="28"/>
        </w:rPr>
        <w:t>ний нормативных правовых актов или отдельных их частей, содержащих обязательные требования</w:t>
      </w:r>
      <w:r w:rsidR="001B350B" w:rsidRPr="001B350B">
        <w:rPr>
          <w:rFonts w:ascii="Times New Roman" w:hAnsi="Times New Roman" w:cs="Times New Roman"/>
          <w:sz w:val="28"/>
          <w:szCs w:val="28"/>
        </w:rPr>
        <w:t xml:space="preserve">, </w:t>
      </w:r>
      <w:r w:rsidR="001B350B" w:rsidRPr="001B350B">
        <w:rPr>
          <w:rFonts w:ascii="Times New Roman" w:hAnsi="Times New Roman" w:cs="Times New Roman"/>
          <w:sz w:val="28"/>
          <w:szCs w:val="28"/>
        </w:rPr>
        <w:t>уменьшилось на 8 ед.</w:t>
      </w:r>
    </w:p>
    <w:p w:rsidR="00E752AA" w:rsidRPr="001B350B" w:rsidRDefault="00E752AA" w:rsidP="00E7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0B">
        <w:rPr>
          <w:rFonts w:ascii="Times New Roman" w:hAnsi="Times New Roman" w:cs="Times New Roman"/>
          <w:sz w:val="28"/>
          <w:szCs w:val="28"/>
        </w:rPr>
        <w:t>Целевой показатель результативности по общему количеству выявле</w:t>
      </w:r>
      <w:r w:rsidRPr="001B350B">
        <w:rPr>
          <w:rFonts w:ascii="Times New Roman" w:hAnsi="Times New Roman" w:cs="Times New Roman"/>
          <w:sz w:val="28"/>
          <w:szCs w:val="28"/>
        </w:rPr>
        <w:t>н</w:t>
      </w:r>
      <w:r w:rsidRPr="001B350B">
        <w:rPr>
          <w:rFonts w:ascii="Times New Roman" w:hAnsi="Times New Roman" w:cs="Times New Roman"/>
          <w:sz w:val="28"/>
          <w:szCs w:val="28"/>
        </w:rPr>
        <w:t xml:space="preserve">ных правонарушений (-5%) </w:t>
      </w:r>
      <w:r w:rsidR="00CF24A9" w:rsidRPr="001B350B">
        <w:rPr>
          <w:rFonts w:ascii="Times New Roman" w:hAnsi="Times New Roman" w:cs="Times New Roman"/>
          <w:sz w:val="28"/>
          <w:szCs w:val="28"/>
        </w:rPr>
        <w:t xml:space="preserve">уменьшился по отношению </w:t>
      </w:r>
      <w:proofErr w:type="gramStart"/>
      <w:r w:rsidR="00CF24A9" w:rsidRPr="001B35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24A9" w:rsidRPr="001B350B">
        <w:rPr>
          <w:rFonts w:ascii="Times New Roman" w:hAnsi="Times New Roman" w:cs="Times New Roman"/>
          <w:sz w:val="28"/>
          <w:szCs w:val="28"/>
        </w:rPr>
        <w:t xml:space="preserve"> </w:t>
      </w:r>
      <w:r w:rsidRPr="001B350B">
        <w:rPr>
          <w:rFonts w:ascii="Times New Roman" w:hAnsi="Times New Roman" w:cs="Times New Roman"/>
          <w:sz w:val="28"/>
          <w:szCs w:val="28"/>
        </w:rPr>
        <w:t>запланирова</w:t>
      </w:r>
      <w:r w:rsidRPr="001B350B">
        <w:rPr>
          <w:rFonts w:ascii="Times New Roman" w:hAnsi="Times New Roman" w:cs="Times New Roman"/>
          <w:sz w:val="28"/>
          <w:szCs w:val="28"/>
        </w:rPr>
        <w:t>н</w:t>
      </w:r>
      <w:r w:rsidRPr="001B350B">
        <w:rPr>
          <w:rFonts w:ascii="Times New Roman" w:hAnsi="Times New Roman" w:cs="Times New Roman"/>
          <w:sz w:val="28"/>
          <w:szCs w:val="28"/>
        </w:rPr>
        <w:t>н</w:t>
      </w:r>
      <w:r w:rsidR="00CF24A9" w:rsidRPr="001B350B">
        <w:rPr>
          <w:rFonts w:ascii="Times New Roman" w:hAnsi="Times New Roman" w:cs="Times New Roman"/>
          <w:sz w:val="28"/>
          <w:szCs w:val="28"/>
        </w:rPr>
        <w:t>ому</w:t>
      </w:r>
      <w:r w:rsidRPr="001B350B">
        <w:rPr>
          <w:rFonts w:ascii="Times New Roman" w:hAnsi="Times New Roman" w:cs="Times New Roman"/>
          <w:sz w:val="28"/>
          <w:szCs w:val="28"/>
        </w:rPr>
        <w:t xml:space="preserve"> на 12 %. Фактически общее количество выявленных нарушений сн</w:t>
      </w:r>
      <w:r w:rsidRPr="001B350B">
        <w:rPr>
          <w:rFonts w:ascii="Times New Roman" w:hAnsi="Times New Roman" w:cs="Times New Roman"/>
          <w:sz w:val="28"/>
          <w:szCs w:val="28"/>
        </w:rPr>
        <w:t>и</w:t>
      </w:r>
      <w:r w:rsidRPr="001B350B">
        <w:rPr>
          <w:rFonts w:ascii="Times New Roman" w:hAnsi="Times New Roman" w:cs="Times New Roman"/>
          <w:sz w:val="28"/>
          <w:szCs w:val="28"/>
        </w:rPr>
        <w:t>зилось на 17 %, то есть на 9 ед.</w:t>
      </w:r>
    </w:p>
    <w:p w:rsidR="00E752AA" w:rsidRPr="005C574E" w:rsidRDefault="00E752AA" w:rsidP="00E7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0B">
        <w:rPr>
          <w:rFonts w:ascii="Times New Roman" w:hAnsi="Times New Roman" w:cs="Times New Roman"/>
          <w:sz w:val="28"/>
          <w:szCs w:val="28"/>
        </w:rPr>
        <w:t xml:space="preserve">Целевой показатель по общему количеству поднадзорных </w:t>
      </w:r>
      <w:bookmarkEnd w:id="0"/>
      <w:r w:rsidRPr="00082FFE">
        <w:rPr>
          <w:rFonts w:ascii="Times New Roman" w:hAnsi="Times New Roman" w:cs="Times New Roman"/>
          <w:sz w:val="28"/>
          <w:szCs w:val="28"/>
        </w:rPr>
        <w:t>субъектов, привлеченных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 не достигнут по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чине изначально не верно определенного исходного показателя 22, исчи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ленного без учета граждан</w:t>
      </w:r>
      <w:r w:rsidR="00C358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FE">
        <w:rPr>
          <w:rFonts w:ascii="Times New Roman" w:hAnsi="Times New Roman" w:cs="Times New Roman"/>
          <w:sz w:val="28"/>
          <w:szCs w:val="28"/>
        </w:rPr>
        <w:t>субъектов, привлеченных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752AA" w:rsidRPr="005C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0A1D"/>
    <w:multiLevelType w:val="hybridMultilevel"/>
    <w:tmpl w:val="DBB4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77"/>
    <w:rsid w:val="0002475B"/>
    <w:rsid w:val="000250F3"/>
    <w:rsid w:val="00082FFE"/>
    <w:rsid w:val="0009431E"/>
    <w:rsid w:val="000A115F"/>
    <w:rsid w:val="001050A9"/>
    <w:rsid w:val="001118F9"/>
    <w:rsid w:val="001A4EC7"/>
    <w:rsid w:val="001B1C00"/>
    <w:rsid w:val="001B350B"/>
    <w:rsid w:val="001C5A51"/>
    <w:rsid w:val="001C7492"/>
    <w:rsid w:val="001F62F6"/>
    <w:rsid w:val="00246A53"/>
    <w:rsid w:val="00277D9B"/>
    <w:rsid w:val="002D36CC"/>
    <w:rsid w:val="002F151D"/>
    <w:rsid w:val="003630D8"/>
    <w:rsid w:val="004A39E9"/>
    <w:rsid w:val="004B4F15"/>
    <w:rsid w:val="004C20BE"/>
    <w:rsid w:val="004D6A4C"/>
    <w:rsid w:val="0051307A"/>
    <w:rsid w:val="005534E6"/>
    <w:rsid w:val="005C574E"/>
    <w:rsid w:val="005E1F59"/>
    <w:rsid w:val="00623320"/>
    <w:rsid w:val="006243BD"/>
    <w:rsid w:val="00626B91"/>
    <w:rsid w:val="006436F3"/>
    <w:rsid w:val="00656FFE"/>
    <w:rsid w:val="00675C4C"/>
    <w:rsid w:val="0068337C"/>
    <w:rsid w:val="006E79C7"/>
    <w:rsid w:val="00700537"/>
    <w:rsid w:val="00757B01"/>
    <w:rsid w:val="00765F77"/>
    <w:rsid w:val="0080069F"/>
    <w:rsid w:val="0081728A"/>
    <w:rsid w:val="00821083"/>
    <w:rsid w:val="00822CCD"/>
    <w:rsid w:val="008241F7"/>
    <w:rsid w:val="008659B7"/>
    <w:rsid w:val="008B2922"/>
    <w:rsid w:val="008D1A96"/>
    <w:rsid w:val="008E7368"/>
    <w:rsid w:val="008F4DAB"/>
    <w:rsid w:val="00942E83"/>
    <w:rsid w:val="00954248"/>
    <w:rsid w:val="00994057"/>
    <w:rsid w:val="009E3203"/>
    <w:rsid w:val="009E634F"/>
    <w:rsid w:val="009F08D7"/>
    <w:rsid w:val="009F4330"/>
    <w:rsid w:val="00A41562"/>
    <w:rsid w:val="00A438D6"/>
    <w:rsid w:val="00A84FBA"/>
    <w:rsid w:val="00AC305A"/>
    <w:rsid w:val="00AF3377"/>
    <w:rsid w:val="00B30215"/>
    <w:rsid w:val="00B45E97"/>
    <w:rsid w:val="00B47C83"/>
    <w:rsid w:val="00B82338"/>
    <w:rsid w:val="00BA2576"/>
    <w:rsid w:val="00BE6960"/>
    <w:rsid w:val="00C14B6C"/>
    <w:rsid w:val="00C24788"/>
    <w:rsid w:val="00C358E0"/>
    <w:rsid w:val="00C74E55"/>
    <w:rsid w:val="00C77982"/>
    <w:rsid w:val="00C85C5F"/>
    <w:rsid w:val="00CC6CE9"/>
    <w:rsid w:val="00CE4D48"/>
    <w:rsid w:val="00CF24A9"/>
    <w:rsid w:val="00D3293E"/>
    <w:rsid w:val="00D47AEB"/>
    <w:rsid w:val="00D90416"/>
    <w:rsid w:val="00DE0D48"/>
    <w:rsid w:val="00DF2BF4"/>
    <w:rsid w:val="00E06D4A"/>
    <w:rsid w:val="00E71F25"/>
    <w:rsid w:val="00E752AA"/>
    <w:rsid w:val="00E94D0E"/>
    <w:rsid w:val="00ED2FFD"/>
    <w:rsid w:val="00EE47EE"/>
    <w:rsid w:val="00EE66B9"/>
    <w:rsid w:val="00EF2DDD"/>
    <w:rsid w:val="00F007D3"/>
    <w:rsid w:val="00F43F65"/>
    <w:rsid w:val="00F91B44"/>
    <w:rsid w:val="00F92078"/>
    <w:rsid w:val="00FB781B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D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2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D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2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91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consultantplus://offline/ref=88CCD785AD20B9171BC1F51E0C4F852CF542A919159D9821C5855EE9545BBD602BD964F741CCB2984A5C852ACD4165831495D9DF08m6B9X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consultantplus://offline/ref=710C5401BEC3417D179ACB8C1C1735740451239EE62DE34F207FB1E735310FB3C89FDEB61B197B31833E4E31930FCC1DEEB2C1C7D93F03QBa5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Общее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количество проверок, проведенных в </a:t>
            </a:r>
          </a:p>
          <a:p>
            <a:pPr algn="ctr"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отношении юридических лиц, индивидуальных предпринимателей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17882400116652"/>
          <c:y val="2.7777777777777776E-2"/>
        </c:manualLayout>
      </c:layout>
      <c:overlay val="0"/>
    </c:title>
    <c:autoTitleDeleted val="0"/>
    <c:view3D>
      <c:rotX val="15"/>
      <c:rotY val="20"/>
      <c:depthPercent val="36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969093435517E-2"/>
          <c:y val="0.23215285589301338"/>
          <c:w val="0.80275371828521436"/>
          <c:h val="0.6724040744906886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cat>
            <c:strRef>
              <c:f>Лист1!$A$3:$A$7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4.7</c:v>
                </c:pt>
                <c:pt idx="1">
                  <c:v>3.5</c:v>
                </c:pt>
                <c:pt idx="2">
                  <c:v>4.2</c:v>
                </c:pt>
                <c:pt idx="3">
                  <c:v>3.7</c:v>
                </c:pt>
                <c:pt idx="4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63616"/>
        <c:axId val="150865792"/>
        <c:axId val="0"/>
      </c:bar3DChart>
      <c:catAx>
        <c:axId val="150463616"/>
        <c:scaling>
          <c:orientation val="minMax"/>
        </c:scaling>
        <c:delete val="1"/>
        <c:axPos val="b"/>
        <c:numFmt formatCode="General" sourceLinked="1"/>
        <c:majorTickMark val="in"/>
        <c:minorTickMark val="none"/>
        <c:tickLblPos val="nextTo"/>
        <c:crossAx val="150865792"/>
        <c:crosses val="autoZero"/>
        <c:auto val="1"/>
        <c:lblAlgn val="ctr"/>
        <c:lblOffset val="100"/>
        <c:noMultiLvlLbl val="0"/>
      </c:catAx>
      <c:valAx>
        <c:axId val="1508657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0463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01178997010398"/>
          <c:y val="2.5730846144231972E-2"/>
          <c:w val="0.11515398543096551"/>
          <c:h val="0.31480814898137732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tx2">
          <a:lumMod val="20000"/>
          <a:lumOff val="80000"/>
        </a:schemeClr>
      </a:fgClr>
      <a:bgClr>
        <a:schemeClr val="bg1"/>
      </a:bgClr>
    </a:patt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проверок</a:t>
            </a:r>
          </a:p>
          <a:p>
            <a:pPr>
              <a:defRPr/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>
        <c:manualLayout>
          <c:layoutTarget val="inner"/>
          <c:xMode val="edge"/>
          <c:yMode val="edge"/>
          <c:x val="0.44001348789734618"/>
          <c:y val="0.10220883534136546"/>
          <c:w val="0.441329571771443"/>
          <c:h val="0.837491212035995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Общее количество административных наказаний,
наложенных по итогам проверок</c:v>
                </c:pt>
                <c:pt idx="1">
                  <c:v>Общее количество проверок, по итогам которых по
фактам выявленных нарушений наложены
административные наказания</c:v>
                </c:pt>
                <c:pt idx="2">
                  <c:v>Выявлено правонарушений</c:v>
                </c:pt>
                <c:pt idx="3">
                  <c:v>Общее количество проверок, по итогам проведения
которых выявлены правонарушения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1.8</c:v>
                </c:pt>
                <c:pt idx="2">
                  <c:v>3.9</c:v>
                </c:pt>
                <c:pt idx="3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Общее количество административных наказаний,
наложенных по итогам проверок</c:v>
                </c:pt>
                <c:pt idx="1">
                  <c:v>Общее количество проверок, по итогам которых по
фактам выявленных нарушений наложены
административные наказания</c:v>
                </c:pt>
                <c:pt idx="2">
                  <c:v>Выявлено правонарушений</c:v>
                </c:pt>
                <c:pt idx="3">
                  <c:v>Общее количество проверок, по итогам проведения
которых выявлены правонарушения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4.3</c:v>
                </c:pt>
                <c:pt idx="2">
                  <c:v>5.5</c:v>
                </c:pt>
                <c:pt idx="3">
                  <c:v>4.9000000000000004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Общее количество административных наказаний,
наложенных по итогам проверок</c:v>
                </c:pt>
                <c:pt idx="1">
                  <c:v>Общее количество проверок, по итогам которых по
фактам выявленных нарушений наложены
административные наказания</c:v>
                </c:pt>
                <c:pt idx="2">
                  <c:v>Выявлено правонарушений</c:v>
                </c:pt>
                <c:pt idx="3">
                  <c:v>Общее количество проверок, по итогам проведения
которых выявлены правонарушения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5.8</c:v>
                </c:pt>
                <c:pt idx="1">
                  <c:v>5.4</c:v>
                </c:pt>
                <c:pt idx="2">
                  <c:v>7.6</c:v>
                </c:pt>
                <c:pt idx="3">
                  <c:v>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Общее количество административных наказаний,
наложенных по итогам проверок</c:v>
                </c:pt>
                <c:pt idx="1">
                  <c:v>Общее количество проверок, по итогам которых по
фактам выявленных нарушений наложены
административные наказания</c:v>
                </c:pt>
                <c:pt idx="2">
                  <c:v>Выявлено правонарушений</c:v>
                </c:pt>
                <c:pt idx="3">
                  <c:v>Общее количество проверок, по итогам проведения
которых выявлены правонарушения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6.4</c:v>
                </c:pt>
                <c:pt idx="1">
                  <c:v>5</c:v>
                </c:pt>
                <c:pt idx="2">
                  <c:v>7.2</c:v>
                </c:pt>
                <c:pt idx="3">
                  <c:v>5.7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Общее количество административных наказаний,
наложенных по итогам проверок</c:v>
                </c:pt>
                <c:pt idx="1">
                  <c:v>Общее количество проверок, по итогам которых по
фактам выявленных нарушений наложены
административные наказания</c:v>
                </c:pt>
                <c:pt idx="2">
                  <c:v>Выявлено правонарушений</c:v>
                </c:pt>
                <c:pt idx="3">
                  <c:v>Общее количество проверок, по итогам проведения
которых выявлены правонарушения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3.9</c:v>
                </c:pt>
                <c:pt idx="2">
                  <c:v>6.7</c:v>
                </c:pt>
                <c:pt idx="3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76864"/>
        <c:axId val="54682752"/>
        <c:axId val="0"/>
      </c:bar3DChart>
      <c:catAx>
        <c:axId val="5467686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4682752"/>
        <c:crosses val="autoZero"/>
        <c:auto val="1"/>
        <c:lblAlgn val="ctr"/>
        <c:lblOffset val="100"/>
        <c:noMultiLvlLbl val="0"/>
      </c:catAx>
      <c:valAx>
        <c:axId val="5468275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5467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075349956255466"/>
          <c:y val="0.12021756316605001"/>
          <c:w val="0.11515398543096551"/>
          <c:h val="0.40363645950506188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1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747557596967047"/>
          <c:y val="4.3396696625043071E-2"/>
          <c:w val="0.47746427529892105"/>
          <c:h val="0.7879599141016463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9.25933723525201E-3"/>
                  <c:y val="-0.391281317108088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222367257568739E-2"/>
                  <c:y val="-0.414098632407791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5296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959703566465956E-3"/>
                  <c:y val="-0.314335229627397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33723525201E-3"/>
                  <c:y val="-0.262765324190935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695018737631058E-2"/>
                  <c:y val="-7.6555023923444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539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8.5</c:v>
                </c:pt>
                <c:pt idx="1">
                  <c:v>8.9</c:v>
                </c:pt>
                <c:pt idx="2">
                  <c:v>6.5</c:v>
                </c:pt>
                <c:pt idx="3">
                  <c:v>5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4096"/>
        <c:axId val="52165632"/>
        <c:axId val="0"/>
      </c:bar3DChart>
      <c:catAx>
        <c:axId val="5216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165632"/>
        <c:crosses val="autoZero"/>
        <c:auto val="1"/>
        <c:lblAlgn val="ctr"/>
        <c:lblOffset val="100"/>
        <c:noMultiLvlLbl val="0"/>
      </c:catAx>
      <c:valAx>
        <c:axId val="521656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2164096"/>
        <c:crosses val="autoZero"/>
        <c:crossBetween val="between"/>
      </c:valAx>
      <c:spPr>
        <a:pattFill prst="pct5">
          <a:fgClr>
            <a:srgbClr val="000000">
              <a:alpha val="0"/>
            </a:srgbClr>
          </a:fgClr>
          <a:bgClr>
            <a:srgbClr val="FFFFFF"/>
          </a:bgClr>
        </a:pattFill>
        <a:ln w="25400">
          <a:noFill/>
        </a:ln>
      </c:spPr>
    </c:plotArea>
    <c:legend>
      <c:legendPos val="r"/>
      <c:layout>
        <c:manualLayout>
          <c:xMode val="edge"/>
          <c:yMode val="edge"/>
          <c:x val="0.8267711482588741"/>
          <c:y val="4.4462570169159492E-2"/>
          <c:w val="3.8469493452355889E-2"/>
          <c:h val="0.43260558339298499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Справочная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информация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1728747524023111"/>
          <c:y val="0.17785956530714558"/>
          <c:w val="0.43981498312710909"/>
          <c:h val="0.729631975350907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0790020790020791E-2"/>
                  <c:y val="-2.99625468164794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90020790021554E-3"/>
                  <c:y val="-2.6217228464419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31852931065529E-2"/>
                  <c:y val="-2.6217228464419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6892792247123E-2"/>
                  <c:y val="-2.6217228464419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штатных единиц по должностям, 
предусматривающим выполнение функций по контролю (надзору)</c:v>
                </c:pt>
                <c:pt idx="1">
                  <c:v>из них отказано органами прокуратуры в согласовании</c:v>
                </c:pt>
                <c:pt idx="2">
                  <c:v>Направлено в органы прокуратуры заявлений 
о согласовании проведения внеплановых выездных проверок,</c:v>
                </c:pt>
                <c:pt idx="3">
                  <c:v>Общее количество юридических лиц и индивидуальных 
предпринимателей, в отношении которых проводились 
плановые, внеплановые проверки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5.9</c:v>
                </c:pt>
                <c:pt idx="1">
                  <c:v>2.5000000000000001E-2</c:v>
                </c:pt>
                <c:pt idx="2">
                  <c:v>0.4</c:v>
                </c:pt>
                <c:pt idx="3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0"/>
              <c:layout>
                <c:manualLayout>
                  <c:x val="-1.0395010395010396E-2"/>
                  <c:y val="-3.37078651685393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343035343035269E-2"/>
                  <c:y val="-2.6217228464419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11018711018712E-2"/>
                  <c:y val="-2.247191011235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393176944358047"/>
                  <c:y val="-2.62175233713763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штатных единиц по должностям, 
предусматривающим выполнение функций по контролю (надзору)</c:v>
                </c:pt>
                <c:pt idx="1">
                  <c:v>из них отказано органами прокуратуры в согласовании</c:v>
                </c:pt>
                <c:pt idx="2">
                  <c:v>Направлено в органы прокуратуры заявлений 
о согласовании проведения внеплановых выездных проверок,</c:v>
                </c:pt>
                <c:pt idx="3">
                  <c:v>Общее количество юридических лиц и индивидуальных 
предпринимателей, в отношении которых проводились 
плановые, внеплановые проверки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5.3</c:v>
                </c:pt>
                <c:pt idx="1">
                  <c:v>0.4</c:v>
                </c:pt>
                <c:pt idx="2">
                  <c:v>1.5</c:v>
                </c:pt>
                <c:pt idx="3">
                  <c:v>13.5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0790020790020791E-3"/>
                  <c:y val="-3.37078651685393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370062370062374E-3"/>
                  <c:y val="-2.62172284644194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790020790020791E-3"/>
                  <c:y val="-2.6217228464419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422037422037424E-2"/>
                  <c:y val="-3.3707865168539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штатных единиц по должностям, 
предусматривающим выполнение функций по контролю (надзору)</c:v>
                </c:pt>
                <c:pt idx="1">
                  <c:v>из них отказано органами прокуратуры в согласовании</c:v>
                </c:pt>
                <c:pt idx="2">
                  <c:v>Направлено в органы прокуратуры заявлений 
о согласовании проведения внеплановых выездных проверок,</c:v>
                </c:pt>
                <c:pt idx="3">
                  <c:v>Общее количество юридических лиц и индивидуальных 
предпринимателей, в отношении которых проводились 
плановые, внеплановые проверки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5.3</c:v>
                </c:pt>
                <c:pt idx="1">
                  <c:v>2</c:v>
                </c:pt>
                <c:pt idx="2">
                  <c:v>2.5</c:v>
                </c:pt>
                <c:pt idx="3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395010395010396E-2"/>
                  <c:y val="-3.74531835205992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106029106029108E-2"/>
                  <c:y val="-2.62172284644194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738045738045741E-2"/>
                  <c:y val="-2.6217228464419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422037422037424E-2"/>
                  <c:y val="-3.74531835205992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штатных единиц по должностям, 
предусматривающим выполнение функций по контролю (надзору)</c:v>
                </c:pt>
                <c:pt idx="1">
                  <c:v>из них отказано органами прокуратуры в согласовании</c:v>
                </c:pt>
                <c:pt idx="2">
                  <c:v>Направлено в органы прокуратуры заявлений 
о согласовании проведения внеплановых выездных проверок,</c:v>
                </c:pt>
                <c:pt idx="3">
                  <c:v>Общее количество юридических лиц и индивидуальных 
предпринимателей, в отношении которых проводились 
плановые, внеплановые проверки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5.3</c:v>
                </c:pt>
                <c:pt idx="1">
                  <c:v>1.5</c:v>
                </c:pt>
                <c:pt idx="2">
                  <c:v>2.5</c:v>
                </c:pt>
                <c:pt idx="3">
                  <c:v>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штатных единиц по должностям, 
предусматривающим выполнение функций по контролю (надзору)</c:v>
                </c:pt>
                <c:pt idx="1">
                  <c:v>из них отказано органами прокуратуры в согласовании</c:v>
                </c:pt>
                <c:pt idx="2">
                  <c:v>Направлено в органы прокуратуры заявлений 
о согласовании проведения внеплановых выездных проверок,</c:v>
                </c:pt>
                <c:pt idx="3">
                  <c:v>Общее количество юридических лиц и индивидуальных 
предпринимателей, в отношении которых проводились 
плановые, внеплановые проверки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5.9</c:v>
                </c:pt>
                <c:pt idx="1">
                  <c:v>3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693696"/>
        <c:axId val="79695232"/>
      </c:barChart>
      <c:catAx>
        <c:axId val="796936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695232"/>
        <c:crosses val="autoZero"/>
        <c:auto val="1"/>
        <c:lblAlgn val="ctr"/>
        <c:lblOffset val="100"/>
        <c:noMultiLvlLbl val="0"/>
      </c:catAx>
      <c:valAx>
        <c:axId val="7969523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79693696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t"/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получено ответов об устранении нарушений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получено возражений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получено ответов и возражений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855616"/>
        <c:axId val="79857152"/>
        <c:axId val="0"/>
      </c:bar3DChart>
      <c:catAx>
        <c:axId val="7985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857152"/>
        <c:crosses val="autoZero"/>
        <c:auto val="1"/>
        <c:lblAlgn val="ctr"/>
        <c:lblOffset val="100"/>
        <c:noMultiLvlLbl val="0"/>
      </c:catAx>
      <c:valAx>
        <c:axId val="79857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85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0.38542</cdr:x>
      <cdr:y>0.93849</cdr:y>
    </cdr:from>
    <cdr:to>
      <cdr:x>0.56481</cdr:x>
      <cdr:y>0.98016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114550" y="3003550"/>
          <a:ext cx="98425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0.38773</cdr:x>
      <cdr:y>0.93254</cdr:y>
    </cdr:from>
    <cdr:to>
      <cdr:x>0.53241</cdr:x>
      <cdr:y>0.96627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127250" y="2984500"/>
          <a:ext cx="793750" cy="107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0.3206</cdr:x>
      <cdr:y>0.92063</cdr:y>
    </cdr:from>
    <cdr:to>
      <cdr:x>0.53472</cdr:x>
      <cdr:y>0.96825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758950" y="2946400"/>
          <a:ext cx="117475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0.36806</cdr:x>
      <cdr:y>0.88889</cdr:y>
    </cdr:from>
    <cdr:to>
      <cdr:x>0.51852</cdr:x>
      <cdr:y>0.97222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019300" y="2844800"/>
          <a:ext cx="8255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 </a:t>
          </a:r>
          <a:r>
            <a:rPr lang="ru-RU" sz="900">
              <a:latin typeface="Times New Roman" pitchFamily="18" charset="0"/>
              <a:cs typeface="Times New Roman" pitchFamily="18" charset="0"/>
            </a:rPr>
            <a:t>единица</a:t>
          </a:r>
        </a:p>
      </cdr:txBody>
    </cdr:sp>
  </cdr:relSizeAnchor>
  <cdr:relSizeAnchor xmlns:cdr="http://schemas.openxmlformats.org/drawingml/2006/chartDrawing">
    <cdr:from>
      <cdr:x>0.2662</cdr:x>
      <cdr:y>0.30556</cdr:y>
    </cdr:from>
    <cdr:to>
      <cdr:x>0.3125</cdr:x>
      <cdr:y>0.34524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1460500" y="977900"/>
          <a:ext cx="254000" cy="127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0.22781</cdr:x>
      <cdr:y>0.24802</cdr:y>
    </cdr:from>
    <cdr:to>
      <cdr:x>0.30802</cdr:x>
      <cdr:y>0.33929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1352551" y="793750"/>
          <a:ext cx="476250" cy="2921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  448</a:t>
          </a:r>
        </a:p>
      </cdr:txBody>
    </cdr:sp>
  </cdr:relSizeAnchor>
  <cdr:relSizeAnchor xmlns:cdr="http://schemas.openxmlformats.org/drawingml/2006/chartDrawing">
    <cdr:from>
      <cdr:x>0.33369</cdr:x>
      <cdr:y>0.35913</cdr:y>
    </cdr:from>
    <cdr:to>
      <cdr:x>0.41711</cdr:x>
      <cdr:y>0.44643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1981201" y="1149360"/>
          <a:ext cx="495299" cy="2793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 360</a:t>
          </a:r>
        </a:p>
      </cdr:txBody>
    </cdr:sp>
  </cdr:relSizeAnchor>
  <cdr:relSizeAnchor xmlns:cdr="http://schemas.openxmlformats.org/drawingml/2006/chartDrawing">
    <cdr:from>
      <cdr:x>0.54398</cdr:x>
      <cdr:y>0.32341</cdr:y>
    </cdr:from>
    <cdr:to>
      <cdr:x>0.59375</cdr:x>
      <cdr:y>0.375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2984500" y="1035050"/>
          <a:ext cx="273050" cy="165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0.45241</cdr:x>
      <cdr:y>0.28571</cdr:y>
    </cdr:from>
    <cdr:to>
      <cdr:x>0.53476</cdr:x>
      <cdr:y>0.36508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2686051" y="914386"/>
          <a:ext cx="488949" cy="2540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386</a:t>
          </a:r>
        </a:p>
      </cdr:txBody>
    </cdr:sp>
  </cdr:relSizeAnchor>
  <cdr:relSizeAnchor xmlns:cdr="http://schemas.openxmlformats.org/drawingml/2006/chartDrawing">
    <cdr:from>
      <cdr:x>0.56043</cdr:x>
      <cdr:y>0.34524</cdr:y>
    </cdr:from>
    <cdr:to>
      <cdr:x>0.65455</cdr:x>
      <cdr:y>0.42063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3327400" y="1104906"/>
          <a:ext cx="558800" cy="2412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 366</a:t>
          </a:r>
        </a:p>
      </cdr:txBody>
    </cdr:sp>
  </cdr:relSizeAnchor>
  <cdr:relSizeAnchor xmlns:cdr="http://schemas.openxmlformats.org/drawingml/2006/chartDrawing">
    <cdr:from>
      <cdr:x>0.67594</cdr:x>
      <cdr:y>0.41865</cdr:y>
    </cdr:from>
    <cdr:to>
      <cdr:x>0.75508</cdr:x>
      <cdr:y>0.47619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013200" y="1339850"/>
          <a:ext cx="469900" cy="184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342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0.50694</cdr:x>
      <cdr:y>0.71084</cdr:y>
    </cdr:from>
    <cdr:to>
      <cdr:x>0.67361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781300" y="28638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0.56944</cdr:x>
      <cdr:y>0.88956</cdr:y>
    </cdr:from>
    <cdr:to>
      <cdr:x>0.74653</cdr:x>
      <cdr:y>0.94378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124200" y="2813050"/>
          <a:ext cx="97155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0.47917</cdr:x>
      <cdr:y>0.91518</cdr:y>
    </cdr:from>
    <cdr:to>
      <cdr:x>0.75</cdr:x>
      <cdr:y>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844952" y="2603500"/>
          <a:ext cx="1607986" cy="241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                 </a:t>
          </a:r>
          <a:r>
            <a:rPr lang="ru-RU" sz="900">
              <a:latin typeface="Times New Roman" pitchFamily="18" charset="0"/>
              <a:cs typeface="Times New Roman" pitchFamily="18" charset="0"/>
            </a:rPr>
            <a:t>единица</a:t>
          </a:r>
        </a:p>
      </cdr:txBody>
    </cdr:sp>
  </cdr:relSizeAnchor>
  <cdr:relSizeAnchor xmlns:cdr="http://schemas.openxmlformats.org/drawingml/2006/chartDrawing">
    <cdr:from>
      <cdr:x>0.69213</cdr:x>
      <cdr:y>0.12277</cdr:y>
    </cdr:from>
    <cdr:to>
      <cdr:x>0.76791</cdr:x>
      <cdr:y>0.19679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109348" y="349251"/>
          <a:ext cx="449951" cy="2105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    51</a:t>
          </a:r>
        </a:p>
      </cdr:txBody>
    </cdr:sp>
  </cdr:relSizeAnchor>
  <cdr:relSizeAnchor xmlns:cdr="http://schemas.openxmlformats.org/drawingml/2006/chartDrawing">
    <cdr:from>
      <cdr:x>0.72106</cdr:x>
      <cdr:y>0.15402</cdr:y>
    </cdr:from>
    <cdr:to>
      <cdr:x>0.79861</cdr:x>
      <cdr:y>0.23092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4281113" y="438150"/>
          <a:ext cx="460434" cy="218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     57</a:t>
          </a:r>
        </a:p>
      </cdr:txBody>
    </cdr:sp>
  </cdr:relSizeAnchor>
  <cdr:relSizeAnchor xmlns:cdr="http://schemas.openxmlformats.org/drawingml/2006/chartDrawing">
    <cdr:from>
      <cdr:x>0.6794</cdr:x>
      <cdr:y>0.18973</cdr:y>
    </cdr:from>
    <cdr:to>
      <cdr:x>0.75</cdr:x>
      <cdr:y>0.25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4033768" y="539750"/>
          <a:ext cx="419170" cy="1714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   69</a:t>
          </a:r>
        </a:p>
      </cdr:txBody>
    </cdr:sp>
  </cdr:relSizeAnchor>
  <cdr:relSizeAnchor xmlns:cdr="http://schemas.openxmlformats.org/drawingml/2006/chartDrawing">
    <cdr:from>
      <cdr:x>0.68877</cdr:x>
      <cdr:y>0.22321</cdr:y>
    </cdr:from>
    <cdr:to>
      <cdr:x>0.75722</cdr:x>
      <cdr:y>0.31526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4089400" y="634999"/>
          <a:ext cx="406400" cy="261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   49</a:t>
          </a:r>
        </a:p>
      </cdr:txBody>
    </cdr:sp>
  </cdr:relSizeAnchor>
  <cdr:relSizeAnchor xmlns:cdr="http://schemas.openxmlformats.org/drawingml/2006/chartDrawing">
    <cdr:from>
      <cdr:x>0.64236</cdr:x>
      <cdr:y>0.5</cdr:y>
    </cdr:from>
    <cdr:to>
      <cdr:x>0.70255</cdr:x>
      <cdr:y>0.56024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3524250" y="1581150"/>
          <a:ext cx="3302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39</a:t>
          </a:r>
        </a:p>
      </cdr:txBody>
    </cdr:sp>
  </cdr:relSizeAnchor>
  <cdr:relSizeAnchor xmlns:cdr="http://schemas.openxmlformats.org/drawingml/2006/chartDrawing">
    <cdr:from>
      <cdr:x>0.6738</cdr:x>
      <cdr:y>0.52232</cdr:y>
    </cdr:from>
    <cdr:to>
      <cdr:x>0.74884</cdr:x>
      <cdr:y>0.59237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4000500" y="1485901"/>
          <a:ext cx="445550" cy="199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50</a:t>
          </a:r>
        </a:p>
      </cdr:txBody>
    </cdr:sp>
  </cdr:relSizeAnchor>
  <cdr:relSizeAnchor xmlns:cdr="http://schemas.openxmlformats.org/drawingml/2006/chartDrawing">
    <cdr:from>
      <cdr:x>0.79465</cdr:x>
      <cdr:y>0.31526</cdr:y>
    </cdr:from>
    <cdr:to>
      <cdr:x>0.85134</cdr:x>
      <cdr:y>0.38554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4718050" y="896852"/>
          <a:ext cx="336550" cy="1999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67</a:t>
          </a:r>
        </a:p>
      </cdr:txBody>
    </cdr:sp>
  </cdr:relSizeAnchor>
  <cdr:relSizeAnchor xmlns:cdr="http://schemas.openxmlformats.org/drawingml/2006/chartDrawing">
    <cdr:from>
      <cdr:x>0.81497</cdr:x>
      <cdr:y>0.35341</cdr:y>
    </cdr:from>
    <cdr:to>
      <cdr:x>0.86343</cdr:x>
      <cdr:y>0.43976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4838700" y="1005381"/>
          <a:ext cx="287700" cy="2456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73</a:t>
          </a:r>
        </a:p>
      </cdr:txBody>
    </cdr:sp>
  </cdr:relSizeAnchor>
  <cdr:relSizeAnchor xmlns:cdr="http://schemas.openxmlformats.org/drawingml/2006/chartDrawing">
    <cdr:from>
      <cdr:x>0.82995</cdr:x>
      <cdr:y>0.38956</cdr:y>
    </cdr:from>
    <cdr:to>
      <cdr:x>0.89519</cdr:x>
      <cdr:y>0.44779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4927600" y="1108220"/>
          <a:ext cx="387350" cy="1656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  77</a:t>
          </a:r>
        </a:p>
      </cdr:txBody>
    </cdr:sp>
  </cdr:relSizeAnchor>
  <cdr:relSizeAnchor xmlns:cdr="http://schemas.openxmlformats.org/drawingml/2006/chartDrawing">
    <cdr:from>
      <cdr:x>0.73048</cdr:x>
      <cdr:y>0.42771</cdr:y>
    </cdr:from>
    <cdr:to>
      <cdr:x>0.78704</cdr:x>
      <cdr:y>0.51807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337050" y="1216749"/>
          <a:ext cx="335803" cy="257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55</a:t>
          </a:r>
        </a:p>
      </cdr:txBody>
    </cdr:sp>
  </cdr:relSizeAnchor>
  <cdr:relSizeAnchor xmlns:cdr="http://schemas.openxmlformats.org/drawingml/2006/chartDrawing">
    <cdr:from>
      <cdr:x>0.72406</cdr:x>
      <cdr:y>0.58482</cdr:y>
    </cdr:from>
    <cdr:to>
      <cdr:x>0.78289</cdr:x>
      <cdr:y>0.65179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298950" y="1663700"/>
          <a:ext cx="349250" cy="190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54</a:t>
          </a:r>
        </a:p>
      </cdr:txBody>
    </cdr:sp>
  </cdr:relSizeAnchor>
  <cdr:relSizeAnchor xmlns:cdr="http://schemas.openxmlformats.org/drawingml/2006/chartDrawing">
    <cdr:from>
      <cdr:x>0.66952</cdr:x>
      <cdr:y>0.625</cdr:y>
    </cdr:from>
    <cdr:to>
      <cdr:x>0.73369</cdr:x>
      <cdr:y>0.68527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3975100" y="1778000"/>
          <a:ext cx="3810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43</a:t>
          </a:r>
        </a:p>
      </cdr:txBody>
    </cdr:sp>
  </cdr:relSizeAnchor>
  <cdr:relSizeAnchor xmlns:cdr="http://schemas.openxmlformats.org/drawingml/2006/chartDrawing">
    <cdr:from>
      <cdr:x>0.69213</cdr:x>
      <cdr:y>0.68474</cdr:y>
    </cdr:from>
    <cdr:to>
      <cdr:x>0.75463</cdr:x>
      <cdr:y>0.74498</cdr:y>
    </cdr:to>
    <cdr:sp macro="" textlink="">
      <cdr:nvSpPr>
        <cdr:cNvPr id="17" name="Поле 16"/>
        <cdr:cNvSpPr txBox="1"/>
      </cdr:nvSpPr>
      <cdr:spPr>
        <a:xfrm xmlns:a="http://schemas.openxmlformats.org/drawingml/2006/main">
          <a:off x="3797300" y="2165350"/>
          <a:ext cx="3429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51</a:t>
          </a:r>
        </a:p>
      </cdr:txBody>
    </cdr:sp>
  </cdr:relSizeAnchor>
  <cdr:relSizeAnchor xmlns:cdr="http://schemas.openxmlformats.org/drawingml/2006/chartDrawing">
    <cdr:from>
      <cdr:x>0.75579</cdr:x>
      <cdr:y>0.71888</cdr:y>
    </cdr:from>
    <cdr:to>
      <cdr:x>0.82639</cdr:x>
      <cdr:y>0.78313</cdr:y>
    </cdr:to>
    <cdr:sp macro="" textlink="">
      <cdr:nvSpPr>
        <cdr:cNvPr id="18" name="Поле 17"/>
        <cdr:cNvSpPr txBox="1"/>
      </cdr:nvSpPr>
      <cdr:spPr>
        <a:xfrm xmlns:a="http://schemas.openxmlformats.org/drawingml/2006/main">
          <a:off x="4146550" y="2273300"/>
          <a:ext cx="387350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64</a:t>
          </a:r>
        </a:p>
      </cdr:txBody>
    </cdr:sp>
  </cdr:relSizeAnchor>
  <cdr:relSizeAnchor xmlns:cdr="http://schemas.openxmlformats.org/drawingml/2006/chartDrawing">
    <cdr:from>
      <cdr:x>0.77861</cdr:x>
      <cdr:y>0.75904</cdr:y>
    </cdr:from>
    <cdr:to>
      <cdr:x>0.85989</cdr:x>
      <cdr:y>0.83333</cdr:y>
    </cdr:to>
    <cdr:sp macro="" textlink="">
      <cdr:nvSpPr>
        <cdr:cNvPr id="19" name="Поле 18"/>
        <cdr:cNvSpPr txBox="1"/>
      </cdr:nvSpPr>
      <cdr:spPr>
        <a:xfrm xmlns:a="http://schemas.openxmlformats.org/drawingml/2006/main">
          <a:off x="4622800" y="2159317"/>
          <a:ext cx="482600" cy="2113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58</a:t>
          </a:r>
        </a:p>
      </cdr:txBody>
    </cdr:sp>
  </cdr:relSizeAnchor>
  <cdr:relSizeAnchor xmlns:cdr="http://schemas.openxmlformats.org/drawingml/2006/chartDrawing">
    <cdr:from>
      <cdr:x>0.73797</cdr:x>
      <cdr:y>0.79518</cdr:y>
    </cdr:from>
    <cdr:to>
      <cdr:x>0.79679</cdr:x>
      <cdr:y>0.86747</cdr:y>
    </cdr:to>
    <cdr:sp macro="" textlink="">
      <cdr:nvSpPr>
        <cdr:cNvPr id="20" name="Поле 19"/>
        <cdr:cNvSpPr txBox="1"/>
      </cdr:nvSpPr>
      <cdr:spPr>
        <a:xfrm xmlns:a="http://schemas.openxmlformats.org/drawingml/2006/main">
          <a:off x="4381500" y="2262128"/>
          <a:ext cx="349250" cy="2056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  49</a:t>
          </a:r>
        </a:p>
      </cdr:txBody>
    </cdr:sp>
  </cdr:relSizeAnchor>
  <cdr:relSizeAnchor xmlns:cdr="http://schemas.openxmlformats.org/drawingml/2006/chartDrawing">
    <cdr:from>
      <cdr:x>0.56471</cdr:x>
      <cdr:y>0.25893</cdr:y>
    </cdr:from>
    <cdr:to>
      <cdr:x>0.61283</cdr:x>
      <cdr:y>0.33482</cdr:y>
    </cdr:to>
    <cdr:sp macro="" textlink="">
      <cdr:nvSpPr>
        <cdr:cNvPr id="21" name="Поле 20"/>
        <cdr:cNvSpPr txBox="1"/>
      </cdr:nvSpPr>
      <cdr:spPr>
        <a:xfrm xmlns:a="http://schemas.openxmlformats.org/drawingml/2006/main">
          <a:off x="3352800" y="736600"/>
          <a:ext cx="285750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0.54973</cdr:x>
      <cdr:y>0.25446</cdr:y>
    </cdr:from>
    <cdr:to>
      <cdr:x>0.62995</cdr:x>
      <cdr:y>0.32813</cdr:y>
    </cdr:to>
    <cdr:sp macro="" textlink="">
      <cdr:nvSpPr>
        <cdr:cNvPr id="22" name="Поле 21"/>
        <cdr:cNvSpPr txBox="1"/>
      </cdr:nvSpPr>
      <cdr:spPr>
        <a:xfrm xmlns:a="http://schemas.openxmlformats.org/drawingml/2006/main">
          <a:off x="3263900" y="723900"/>
          <a:ext cx="4762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  31</a:t>
          </a:r>
        </a:p>
      </cdr:txBody>
    </cdr:sp>
  </cdr:relSizeAnchor>
  <cdr:relSizeAnchor xmlns:cdr="http://schemas.openxmlformats.org/drawingml/2006/chartDrawing">
    <cdr:from>
      <cdr:x>0.65561</cdr:x>
      <cdr:y>0.45536</cdr:y>
    </cdr:from>
    <cdr:to>
      <cdr:x>0.73048</cdr:x>
      <cdr:y>0.52902</cdr:y>
    </cdr:to>
    <cdr:sp macro="" textlink="">
      <cdr:nvSpPr>
        <cdr:cNvPr id="23" name="Поле 22"/>
        <cdr:cNvSpPr txBox="1"/>
      </cdr:nvSpPr>
      <cdr:spPr>
        <a:xfrm xmlns:a="http://schemas.openxmlformats.org/drawingml/2006/main">
          <a:off x="3892550" y="1295400"/>
          <a:ext cx="4445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39</a:t>
          </a:r>
        </a:p>
      </cdr:txBody>
    </cdr:sp>
  </cdr:relSizeAnchor>
  <cdr:relSizeAnchor xmlns:cdr="http://schemas.openxmlformats.org/drawingml/2006/chartDrawing">
    <cdr:from>
      <cdr:x>0.53797</cdr:x>
      <cdr:y>0.65179</cdr:y>
    </cdr:from>
    <cdr:to>
      <cdr:x>0.63636</cdr:x>
      <cdr:y>0.72768</cdr:y>
    </cdr:to>
    <cdr:sp macro="" textlink="">
      <cdr:nvSpPr>
        <cdr:cNvPr id="24" name="Поле 23"/>
        <cdr:cNvSpPr txBox="1"/>
      </cdr:nvSpPr>
      <cdr:spPr>
        <a:xfrm xmlns:a="http://schemas.openxmlformats.org/drawingml/2006/main">
          <a:off x="3194050" y="1854200"/>
          <a:ext cx="584200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20</a:t>
          </a:r>
        </a:p>
      </cdr:txBody>
    </cdr:sp>
  </cdr:relSizeAnchor>
  <cdr:relSizeAnchor xmlns:cdr="http://schemas.openxmlformats.org/drawingml/2006/chartDrawing">
    <cdr:from>
      <cdr:x>0.55722</cdr:x>
      <cdr:y>0.85268</cdr:y>
    </cdr:from>
    <cdr:to>
      <cdr:x>0.6385</cdr:x>
      <cdr:y>0.91518</cdr:y>
    </cdr:to>
    <cdr:sp macro="" textlink="">
      <cdr:nvSpPr>
        <cdr:cNvPr id="25" name="Поле 24"/>
        <cdr:cNvSpPr txBox="1"/>
      </cdr:nvSpPr>
      <cdr:spPr>
        <a:xfrm xmlns:a="http://schemas.openxmlformats.org/drawingml/2006/main">
          <a:off x="3308350" y="2425700"/>
          <a:ext cx="482600" cy="177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21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0.14236</cdr:x>
      <cdr:y>0.81849</cdr:y>
    </cdr:from>
    <cdr:to>
      <cdr:x>0.7581</cdr:x>
      <cdr:y>0.90068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781050" y="1517650"/>
          <a:ext cx="33782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0.13889</cdr:x>
      <cdr:y>0.85885</cdr:y>
    </cdr:from>
    <cdr:to>
      <cdr:x>0.81944</cdr:x>
      <cdr:y>0.94258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824625" y="2279650"/>
          <a:ext cx="4040595" cy="222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aseline="0">
              <a:latin typeface="Times New Roman" pitchFamily="18" charset="0"/>
              <a:cs typeface="Times New Roman" pitchFamily="18" charset="0"/>
            </a:rPr>
            <a:t>  </a:t>
          </a:r>
          <a:endParaRPr lang="ru-RU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0.65741</cdr:x>
      <cdr:y>0.65311</cdr:y>
    </cdr:from>
    <cdr:to>
      <cdr:x>0.73727</cdr:x>
      <cdr:y>0.75685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903208" y="1733550"/>
          <a:ext cx="474148" cy="2753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1500</a:t>
          </a:r>
        </a:p>
      </cdr:txBody>
    </cdr:sp>
  </cdr:relSizeAnchor>
  <cdr:relSizeAnchor xmlns:cdr="http://schemas.openxmlformats.org/drawingml/2006/chartDrawing">
    <cdr:from>
      <cdr:x>0.65278</cdr:x>
      <cdr:y>0.56459</cdr:y>
    </cdr:from>
    <cdr:to>
      <cdr:x>0.73611</cdr:x>
      <cdr:y>0.65311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875718" y="1498600"/>
          <a:ext cx="494751" cy="234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Times New Roman" pitchFamily="18" charset="0"/>
              <a:cs typeface="Times New Roman" pitchFamily="18" charset="0"/>
            </a:rPr>
            <a:t> </a:t>
          </a:r>
          <a:r>
            <a:rPr lang="ru-RU" sz="800">
              <a:latin typeface="Times New Roman" pitchFamily="18" charset="0"/>
              <a:cs typeface="Times New Roman" pitchFamily="18" charset="0"/>
            </a:rPr>
            <a:t>2000</a:t>
          </a:r>
        </a:p>
      </cdr:txBody>
    </cdr:sp>
  </cdr:relSizeAnchor>
  <cdr:relSizeAnchor xmlns:cdr="http://schemas.openxmlformats.org/drawingml/2006/chartDrawing">
    <cdr:from>
      <cdr:x>0.65278</cdr:x>
      <cdr:y>0.48565</cdr:y>
    </cdr:from>
    <cdr:to>
      <cdr:x>0.73264</cdr:x>
      <cdr:y>0.56459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3875718" y="1289050"/>
          <a:ext cx="474149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Times New Roman" pitchFamily="18" charset="0"/>
              <a:cs typeface="Times New Roman" pitchFamily="18" charset="0"/>
            </a:rPr>
            <a:t> </a:t>
          </a:r>
          <a:r>
            <a:rPr lang="ru-RU" sz="800">
              <a:latin typeface="Times New Roman" pitchFamily="18" charset="0"/>
              <a:cs typeface="Times New Roman" pitchFamily="18" charset="0"/>
            </a:rPr>
            <a:t>2500</a:t>
          </a:r>
        </a:p>
      </cdr:txBody>
    </cdr:sp>
  </cdr:relSizeAnchor>
  <cdr:relSizeAnchor xmlns:cdr="http://schemas.openxmlformats.org/drawingml/2006/chartDrawing">
    <cdr:from>
      <cdr:x>0.65741</cdr:x>
      <cdr:y>0.41627</cdr:y>
    </cdr:from>
    <cdr:to>
      <cdr:x>0.72801</cdr:x>
      <cdr:y>0.48325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3903208" y="1104900"/>
          <a:ext cx="419169" cy="177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30</a:t>
          </a:r>
          <a:r>
            <a:rPr lang="en-US" sz="800">
              <a:latin typeface="Times New Roman" pitchFamily="18" charset="0"/>
              <a:cs typeface="Times New Roman" pitchFamily="18" charset="0"/>
            </a:rPr>
            <a:t>00</a:t>
          </a:r>
          <a:endParaRPr lang="ru-RU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0.65394</cdr:x>
      <cdr:y>0.33732</cdr:y>
    </cdr:from>
    <cdr:to>
      <cdr:x>0.74421</cdr:x>
      <cdr:y>0.43541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3882605" y="895350"/>
          <a:ext cx="535956" cy="260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Times New Roman" pitchFamily="18" charset="0"/>
              <a:cs typeface="Times New Roman" pitchFamily="18" charset="0"/>
            </a:rPr>
            <a:t> </a:t>
          </a:r>
          <a:r>
            <a:rPr lang="ru-RU" sz="800">
              <a:latin typeface="Times New Roman" pitchFamily="18" charset="0"/>
              <a:cs typeface="Times New Roman" pitchFamily="18" charset="0"/>
            </a:rPr>
            <a:t>35</a:t>
          </a:r>
          <a:r>
            <a:rPr lang="en-US" sz="800">
              <a:latin typeface="Times New Roman" pitchFamily="18" charset="0"/>
              <a:cs typeface="Times New Roman" pitchFamily="18" charset="0"/>
            </a:rPr>
            <a:t>00</a:t>
          </a:r>
          <a:endParaRPr lang="ru-RU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0.65972</cdr:x>
      <cdr:y>0.25598</cdr:y>
    </cdr:from>
    <cdr:to>
      <cdr:x>0.74884</cdr:x>
      <cdr:y>0.35167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3916923" y="679450"/>
          <a:ext cx="529127" cy="25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40</a:t>
          </a:r>
          <a:r>
            <a:rPr lang="en-US" sz="800">
              <a:latin typeface="Times New Roman" pitchFamily="18" charset="0"/>
              <a:cs typeface="Times New Roman" pitchFamily="18" charset="0"/>
            </a:rPr>
            <a:t>00</a:t>
          </a:r>
          <a:endParaRPr lang="ru-RU" sz="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0.65989</cdr:x>
      <cdr:y>0.17225</cdr:y>
    </cdr:from>
    <cdr:to>
      <cdr:x>0.76043</cdr:x>
      <cdr:y>0.2488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3917950" y="457200"/>
          <a:ext cx="596900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4500</a:t>
          </a:r>
        </a:p>
      </cdr:txBody>
    </cdr:sp>
  </cdr:relSizeAnchor>
  <cdr:relSizeAnchor xmlns:cdr="http://schemas.openxmlformats.org/drawingml/2006/chartDrawing">
    <cdr:from>
      <cdr:x>0.65561</cdr:x>
      <cdr:y>0.09809</cdr:y>
    </cdr:from>
    <cdr:to>
      <cdr:x>0.74439</cdr:x>
      <cdr:y>0.17703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3892550" y="260350"/>
          <a:ext cx="5270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 5000</a:t>
          </a:r>
        </a:p>
      </cdr:txBody>
    </cdr:sp>
  </cdr:relSizeAnchor>
  <cdr:relSizeAnchor xmlns:cdr="http://schemas.openxmlformats.org/drawingml/2006/chartDrawing">
    <cdr:from>
      <cdr:x>0.66096</cdr:x>
      <cdr:y>0.02153</cdr:y>
    </cdr:from>
    <cdr:to>
      <cdr:x>0.76578</cdr:x>
      <cdr:y>0.10766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3924300" y="57150"/>
          <a:ext cx="6223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5500</a:t>
          </a:r>
        </a:p>
      </cdr:txBody>
    </cdr:sp>
  </cdr:relSizeAnchor>
  <cdr:relSizeAnchor xmlns:cdr="http://schemas.openxmlformats.org/drawingml/2006/chartDrawing">
    <cdr:from>
      <cdr:x>0.85241</cdr:x>
      <cdr:y>0.04067</cdr:y>
    </cdr:from>
    <cdr:to>
      <cdr:x>0.98396</cdr:x>
      <cdr:y>0.1555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5060950" y="107950"/>
          <a:ext cx="7810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2014 год</a:t>
          </a:r>
        </a:p>
      </cdr:txBody>
    </cdr:sp>
  </cdr:relSizeAnchor>
  <cdr:relSizeAnchor xmlns:cdr="http://schemas.openxmlformats.org/drawingml/2006/chartDrawing">
    <cdr:from>
      <cdr:x>0.83957</cdr:x>
      <cdr:y>0.12679</cdr:y>
    </cdr:from>
    <cdr:to>
      <cdr:x>0.96791</cdr:x>
      <cdr:y>0.2177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984750" y="336550"/>
          <a:ext cx="762000" cy="241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   2015 год</a:t>
          </a:r>
        </a:p>
      </cdr:txBody>
    </cdr:sp>
  </cdr:relSizeAnchor>
  <cdr:relSizeAnchor xmlns:cdr="http://schemas.openxmlformats.org/drawingml/2006/chartDrawing">
    <cdr:from>
      <cdr:x>0.85348</cdr:x>
      <cdr:y>0.21292</cdr:y>
    </cdr:from>
    <cdr:to>
      <cdr:x>0.96898</cdr:x>
      <cdr:y>0.30861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5067300" y="565150"/>
          <a:ext cx="685800" cy="25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2016 год</a:t>
          </a:r>
        </a:p>
      </cdr:txBody>
    </cdr:sp>
  </cdr:relSizeAnchor>
  <cdr:relSizeAnchor xmlns:cdr="http://schemas.openxmlformats.org/drawingml/2006/chartDrawing">
    <cdr:from>
      <cdr:x>0.85134</cdr:x>
      <cdr:y>0.30383</cdr:y>
    </cdr:from>
    <cdr:to>
      <cdr:x>0.97754</cdr:x>
      <cdr:y>0.41148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5054600" y="806450"/>
          <a:ext cx="7493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2017 год</a:t>
          </a:r>
        </a:p>
      </cdr:txBody>
    </cdr:sp>
  </cdr:relSizeAnchor>
  <cdr:relSizeAnchor xmlns:cdr="http://schemas.openxmlformats.org/drawingml/2006/chartDrawing">
    <cdr:from>
      <cdr:x>0.85134</cdr:x>
      <cdr:y>0.39474</cdr:y>
    </cdr:from>
    <cdr:to>
      <cdr:x>0.97433</cdr:x>
      <cdr:y>0.50239</cdr:y>
    </cdr:to>
    <cdr:sp macro="" textlink="">
      <cdr:nvSpPr>
        <cdr:cNvPr id="17" name="Поле 16"/>
        <cdr:cNvSpPr txBox="1"/>
      </cdr:nvSpPr>
      <cdr:spPr>
        <a:xfrm xmlns:a="http://schemas.openxmlformats.org/drawingml/2006/main">
          <a:off x="5054600" y="1047750"/>
          <a:ext cx="7302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2018 год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0.63086</cdr:x>
      <cdr:y>0.92322</cdr:y>
    </cdr:from>
    <cdr:to>
      <cdr:x>0.82972</cdr:x>
      <cdr:y>0.9794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853734" y="3130550"/>
          <a:ext cx="1214777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        </a:t>
          </a:r>
          <a:r>
            <a:rPr lang="en-US" sz="800">
              <a:latin typeface="Times New Roman" pitchFamily="18" charset="0"/>
              <a:cs typeface="Times New Roman" pitchFamily="18" charset="0"/>
            </a:rPr>
            <a:t>      </a:t>
          </a:r>
          <a:r>
            <a:rPr lang="ru-RU" sz="800">
              <a:latin typeface="Times New Roman" pitchFamily="18" charset="0"/>
              <a:cs typeface="Times New Roman" pitchFamily="18" charset="0"/>
            </a:rPr>
            <a:t>единица</a:t>
          </a:r>
        </a:p>
      </cdr:txBody>
    </cdr:sp>
  </cdr:relSizeAnchor>
  <cdr:relSizeAnchor xmlns:cdr="http://schemas.openxmlformats.org/drawingml/2006/chartDrawing">
    <cdr:from>
      <cdr:x>0.7973</cdr:x>
      <cdr:y>0.30524</cdr:y>
    </cdr:from>
    <cdr:to>
      <cdr:x>0.84927</cdr:x>
      <cdr:y>0.36891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870450" y="1035050"/>
          <a:ext cx="317500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0.78586</cdr:x>
      <cdr:y>0.29401</cdr:y>
    </cdr:from>
    <cdr:to>
      <cdr:x>0.85967</cdr:x>
      <cdr:y>0.38951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800600" y="996950"/>
          <a:ext cx="4508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90</a:t>
          </a:r>
        </a:p>
      </cdr:txBody>
    </cdr:sp>
  </cdr:relSizeAnchor>
  <cdr:relSizeAnchor xmlns:cdr="http://schemas.openxmlformats.org/drawingml/2006/chartDrawing">
    <cdr:from>
      <cdr:x>0.52495</cdr:x>
      <cdr:y>0.47378</cdr:y>
    </cdr:from>
    <cdr:to>
      <cdr:x>0.57588</cdr:x>
      <cdr:y>0.55431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206750" y="1606550"/>
          <a:ext cx="311150" cy="273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1</a:t>
          </a:r>
        </a:p>
      </cdr:txBody>
    </cdr:sp>
  </cdr:relSizeAnchor>
  <cdr:relSizeAnchor xmlns:cdr="http://schemas.openxmlformats.org/drawingml/2006/chartDrawing">
    <cdr:from>
      <cdr:x>0.50416</cdr:x>
      <cdr:y>0.65918</cdr:y>
    </cdr:from>
    <cdr:to>
      <cdr:x>0.58004</cdr:x>
      <cdr:y>0.73783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3079750" y="2235213"/>
          <a:ext cx="463540" cy="266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0</a:t>
          </a:r>
        </a:p>
      </cdr:txBody>
    </cdr:sp>
  </cdr:relSizeAnchor>
  <cdr:relSizeAnchor xmlns:cdr="http://schemas.openxmlformats.org/drawingml/2006/chartDrawing">
    <cdr:from>
      <cdr:x>0.63721</cdr:x>
      <cdr:y>0.83521</cdr:y>
    </cdr:from>
    <cdr:to>
      <cdr:x>0.71414</cdr:x>
      <cdr:y>0.91011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3892550" y="2832100"/>
          <a:ext cx="469900" cy="25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13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907C-DA57-4251-9A46-5164ECAA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cp:lastPrinted>2019-02-19T21:39:00Z</cp:lastPrinted>
  <dcterms:created xsi:type="dcterms:W3CDTF">2019-03-06T03:18:00Z</dcterms:created>
  <dcterms:modified xsi:type="dcterms:W3CDTF">2019-03-06T03:18:00Z</dcterms:modified>
</cp:coreProperties>
</file>