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16" w:before="316"/>
        <w:ind w:firstLine="0" w:left="0" w:right="0"/>
        <w:jc w:val="center"/>
        <w:rPr>
          <w:rFonts w:ascii="Times New Roman" w:hAnsi="Times New Roman"/>
          <w:b w:val="1"/>
          <w:i w:val="0"/>
          <w:caps w:val="0"/>
          <w:color w:val="22272F"/>
          <w:spacing w:val="0"/>
          <w:sz w:val="24"/>
          <w:highlight w:val="white"/>
        </w:rPr>
      </w:pPr>
    </w:p>
    <w:p w14:paraId="02000000">
      <w:pPr>
        <w:spacing w:after="316" w:before="316"/>
        <w:ind w:firstLine="0" w:left="0" w:right="0"/>
        <w:jc w:val="center"/>
        <w:rPr>
          <w:rFonts w:ascii="Times New Roman" w:hAnsi="Times New Roman"/>
          <w:b w:val="1"/>
          <w:i w:val="0"/>
          <w:caps w:val="0"/>
          <w:color w:val="22272F"/>
          <w:spacing w:val="0"/>
          <w:sz w:val="24"/>
          <w:highlight w:val="white"/>
        </w:rPr>
      </w:pPr>
      <w:r>
        <w:rPr>
          <w:rFonts w:ascii="Times New Roman" w:hAnsi="Times New Roman"/>
          <w:b w:val="1"/>
          <w:i w:val="0"/>
          <w:caps w:val="0"/>
          <w:color w:val="22272F"/>
          <w:spacing w:val="0"/>
          <w:sz w:val="24"/>
          <w:highlight w:val="white"/>
        </w:rPr>
        <w:t xml:space="preserve">Перечень индикаторов риска нарушения обязательных требований,                                </w:t>
      </w:r>
      <w:r>
        <w:rPr>
          <w:rFonts w:ascii="Times New Roman" w:hAnsi="Times New Roman"/>
          <w:b w:val="1"/>
          <w:i w:val="0"/>
          <w:caps w:val="0"/>
          <w:color w:val="22272F"/>
          <w:spacing w:val="0"/>
          <w:sz w:val="24"/>
          <w:highlight w:val="white"/>
        </w:rPr>
        <w:t>порядок и критерии отнесения объектов контроля к категориям риска</w:t>
      </w:r>
    </w:p>
    <w:p w14:paraId="03000000">
      <w:pPr>
        <w:spacing w:after="316" w:before="316"/>
        <w:ind w:firstLine="0" w:left="0" w:right="0"/>
        <w:jc w:val="both"/>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Инспекция государственного строительного надзора Камчатского края при осуществлении регионального государственного строительного надзора относит объекты контроля к одной из следующих категорий риска причинения вреда (ущерба) охраняемым законом ценностям (далее - категории риска):</w:t>
      </w:r>
    </w:p>
    <w:p w14:paraId="04000000">
      <w:pPr>
        <w:spacing w:after="316" w:before="316"/>
        <w:ind w:firstLine="0" w:left="0" w:right="0"/>
        <w:jc w:val="both"/>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1) высокий риск;</w:t>
      </w:r>
    </w:p>
    <w:p w14:paraId="05000000">
      <w:pPr>
        <w:spacing w:after="316" w:before="316"/>
        <w:ind w:firstLine="0" w:left="0" w:right="0"/>
        <w:jc w:val="both"/>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2) значительный риск;</w:t>
      </w:r>
    </w:p>
    <w:p w14:paraId="06000000">
      <w:pPr>
        <w:spacing w:after="316" w:before="316"/>
        <w:ind w:firstLine="0" w:left="0" w:right="0"/>
        <w:jc w:val="both"/>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3) умеренный риск;</w:t>
      </w:r>
    </w:p>
    <w:p w14:paraId="07000000">
      <w:pPr>
        <w:spacing w:after="316" w:before="316"/>
        <w:ind w:firstLine="0" w:left="0" w:right="0"/>
        <w:jc w:val="both"/>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4) низкий риск.</w:t>
      </w:r>
    </w:p>
    <w:p w14:paraId="08000000">
      <w:pPr>
        <w:spacing w:after="376" w:before="376"/>
        <w:ind w:firstLine="0" w:left="0" w:right="0"/>
        <w:jc w:val="center"/>
        <w:rPr>
          <w:rFonts w:ascii="Times New Roman" w:hAnsi="Times New Roman"/>
          <w:sz w:val="24"/>
        </w:rPr>
      </w:pPr>
      <w:r>
        <w:rPr>
          <w:rFonts w:ascii="Times New Roman" w:hAnsi="Times New Roman"/>
          <w:sz w:val="24"/>
        </w:rPr>
        <w:t>Критерии</w:t>
      </w:r>
      <w:r>
        <w:rPr>
          <w:rFonts w:ascii="Times New Roman" w:hAnsi="Times New Roman"/>
          <w:sz w:val="24"/>
        </w:rPr>
        <w:br/>
      </w:r>
      <w:r>
        <w:rPr>
          <w:rFonts w:ascii="Times New Roman" w:hAnsi="Times New Roman"/>
          <w:sz w:val="24"/>
        </w:rPr>
        <w:t>отнесения объектов регионального государственного строительного надзора в Камчатском крае к категориям риска причинения вреда (ущерба) охраняемым законом ценностям</w:t>
      </w:r>
    </w:p>
    <w:tbl>
      <w:tblPr>
        <w:tblLayout w:type="fixed"/>
      </w:tblPr>
      <w:tblGrid>
        <w:gridCol w:w="807"/>
        <w:gridCol w:w="2661"/>
        <w:gridCol w:w="6397"/>
      </w:tblGrid>
      <w:tr>
        <w:tc>
          <w:tcPr>
            <w:tcW w:type="dxa" w:w="807"/>
            <w:tcBorders>
              <w:top w:color="000000" w:sz="6" w:val="single"/>
              <w:left w:color="000000" w:sz="6" w:val="single"/>
              <w:bottom w:color="000000" w:sz="6" w:val="single"/>
              <w:right w:color="000000" w:sz="6" w:val="single"/>
            </w:tcBorders>
            <w:vAlign w:val="top"/>
          </w:tcPr>
          <w:p w14:paraId="09000000">
            <w:pPr>
              <w:spacing w:after="0" w:before="0"/>
              <w:ind w:firstLine="0" w:left="150" w:right="150"/>
              <w:jc w:val="center"/>
              <w:rPr>
                <w:rFonts w:ascii="Times New Roman" w:hAnsi="Times New Roman"/>
                <w:sz w:val="24"/>
              </w:rPr>
            </w:pPr>
            <w:r>
              <w:rPr>
                <w:rFonts w:ascii="Times New Roman" w:hAnsi="Times New Roman"/>
                <w:sz w:val="24"/>
              </w:rPr>
              <w:t>N п/п</w:t>
            </w:r>
          </w:p>
        </w:tc>
        <w:tc>
          <w:tcPr>
            <w:tcW w:type="dxa" w:w="2661"/>
            <w:tcBorders>
              <w:top w:color="000000" w:sz="6" w:val="single"/>
              <w:left w:color="000000" w:sz="6" w:val="single"/>
              <w:bottom w:color="000000" w:sz="6" w:val="single"/>
              <w:right w:color="000000" w:sz="6" w:val="single"/>
            </w:tcBorders>
            <w:vAlign w:val="top"/>
          </w:tcPr>
          <w:p w14:paraId="0A000000">
            <w:pPr>
              <w:spacing w:after="0" w:before="0"/>
              <w:ind w:firstLine="0" w:left="150" w:right="150"/>
              <w:jc w:val="center"/>
              <w:rPr>
                <w:rFonts w:ascii="Times New Roman" w:hAnsi="Times New Roman"/>
                <w:sz w:val="24"/>
              </w:rPr>
            </w:pPr>
            <w:r>
              <w:rPr>
                <w:rFonts w:ascii="Times New Roman" w:hAnsi="Times New Roman"/>
                <w:sz w:val="24"/>
              </w:rPr>
              <w:t>Категория риска</w:t>
            </w:r>
          </w:p>
        </w:tc>
        <w:tc>
          <w:tcPr>
            <w:tcW w:type="dxa" w:w="6397"/>
            <w:tcBorders>
              <w:top w:color="000000" w:sz="6" w:val="single"/>
              <w:left w:color="000000" w:sz="6" w:val="single"/>
              <w:bottom w:color="000000" w:sz="6" w:val="single"/>
              <w:right w:color="000000" w:sz="6" w:val="single"/>
            </w:tcBorders>
            <w:vAlign w:val="top"/>
          </w:tcPr>
          <w:p w14:paraId="0B000000">
            <w:pPr>
              <w:spacing w:after="0" w:before="0"/>
              <w:ind w:firstLine="0" w:left="150" w:right="150"/>
              <w:jc w:val="center"/>
              <w:rPr>
                <w:rFonts w:ascii="Times New Roman" w:hAnsi="Times New Roman"/>
                <w:sz w:val="24"/>
              </w:rPr>
            </w:pPr>
            <w:r>
              <w:rPr>
                <w:rFonts w:ascii="Times New Roman" w:hAnsi="Times New Roman"/>
                <w:sz w:val="24"/>
              </w:rPr>
              <w:t>Критерии риска</w:t>
            </w:r>
          </w:p>
        </w:tc>
      </w:tr>
      <w:tr>
        <w:tc>
          <w:tcPr>
            <w:tcW w:type="dxa" w:w="807"/>
            <w:tcBorders>
              <w:top w:color="000000" w:sz="6" w:val="single"/>
              <w:left w:color="000000" w:sz="6" w:val="single"/>
              <w:bottom w:color="000000" w:sz="6" w:val="single"/>
              <w:right w:color="000000" w:sz="6" w:val="single"/>
            </w:tcBorders>
            <w:vAlign w:val="top"/>
          </w:tcPr>
          <w:p w14:paraId="0C000000">
            <w:pPr>
              <w:spacing w:after="0" w:before="0"/>
              <w:ind w:firstLine="0" w:left="150" w:right="150"/>
              <w:jc w:val="center"/>
              <w:rPr>
                <w:rFonts w:ascii="Times New Roman" w:hAnsi="Times New Roman"/>
                <w:sz w:val="24"/>
              </w:rPr>
            </w:pPr>
            <w:r>
              <w:rPr>
                <w:rFonts w:ascii="Times New Roman" w:hAnsi="Times New Roman"/>
                <w:sz w:val="24"/>
              </w:rPr>
              <w:t>1</w:t>
            </w:r>
          </w:p>
        </w:tc>
        <w:tc>
          <w:tcPr>
            <w:tcW w:type="dxa" w:w="2661"/>
            <w:tcBorders>
              <w:top w:color="000000" w:sz="6" w:val="single"/>
              <w:left w:color="000000" w:sz="6" w:val="single"/>
              <w:bottom w:color="000000" w:sz="6" w:val="single"/>
              <w:right w:color="000000" w:sz="6" w:val="single"/>
            </w:tcBorders>
            <w:vAlign w:val="top"/>
          </w:tcPr>
          <w:p w14:paraId="0D000000">
            <w:pPr>
              <w:spacing w:after="0" w:before="0"/>
              <w:ind w:firstLine="0" w:left="150" w:right="150"/>
              <w:jc w:val="center"/>
              <w:rPr>
                <w:rFonts w:ascii="Times New Roman" w:hAnsi="Times New Roman"/>
                <w:sz w:val="24"/>
              </w:rPr>
            </w:pPr>
            <w:r>
              <w:rPr>
                <w:rFonts w:ascii="Times New Roman" w:hAnsi="Times New Roman"/>
                <w:sz w:val="24"/>
              </w:rPr>
              <w:t>2</w:t>
            </w:r>
          </w:p>
        </w:tc>
        <w:tc>
          <w:tcPr>
            <w:tcW w:type="dxa" w:w="6397"/>
            <w:tcBorders>
              <w:top w:color="000000" w:sz="6" w:val="single"/>
              <w:left w:color="000000" w:sz="6" w:val="single"/>
              <w:bottom w:color="000000" w:sz="6" w:val="single"/>
              <w:right w:color="000000" w:sz="6" w:val="single"/>
            </w:tcBorders>
            <w:vAlign w:val="top"/>
          </w:tcPr>
          <w:p w14:paraId="0E000000">
            <w:pPr>
              <w:spacing w:after="0" w:before="0"/>
              <w:ind w:firstLine="0" w:left="150" w:right="150"/>
              <w:jc w:val="center"/>
              <w:rPr>
                <w:rFonts w:ascii="Times New Roman" w:hAnsi="Times New Roman"/>
                <w:sz w:val="24"/>
              </w:rPr>
            </w:pPr>
            <w:r>
              <w:rPr>
                <w:rFonts w:ascii="Times New Roman" w:hAnsi="Times New Roman"/>
                <w:sz w:val="24"/>
              </w:rPr>
              <w:t>3</w:t>
            </w:r>
          </w:p>
        </w:tc>
      </w:tr>
      <w:tr>
        <w:tc>
          <w:tcPr>
            <w:tcW w:type="dxa" w:w="807"/>
            <w:tcBorders>
              <w:top w:color="000000" w:sz="6" w:val="single"/>
              <w:left w:color="000000" w:sz="6" w:val="single"/>
              <w:bottom w:color="000000" w:sz="6" w:val="single"/>
              <w:right w:color="000000" w:sz="6" w:val="single"/>
            </w:tcBorders>
            <w:vAlign w:val="top"/>
          </w:tcPr>
          <w:p w14:paraId="0F000000">
            <w:pPr>
              <w:spacing w:after="0" w:before="0"/>
              <w:ind w:firstLine="0" w:left="150" w:right="150"/>
              <w:jc w:val="center"/>
              <w:rPr>
                <w:rFonts w:ascii="Times New Roman" w:hAnsi="Times New Roman"/>
                <w:sz w:val="24"/>
              </w:rPr>
            </w:pPr>
            <w:r>
              <w:rPr>
                <w:rFonts w:ascii="Times New Roman" w:hAnsi="Times New Roman"/>
                <w:sz w:val="24"/>
              </w:rPr>
              <w:t>1.</w:t>
            </w:r>
          </w:p>
        </w:tc>
        <w:tc>
          <w:tcPr>
            <w:tcW w:type="dxa" w:w="2661"/>
            <w:tcBorders>
              <w:top w:color="000000" w:sz="6" w:val="single"/>
              <w:left w:color="000000" w:sz="6" w:val="single"/>
              <w:bottom w:color="000000" w:sz="6" w:val="single"/>
              <w:right w:color="000000" w:sz="6" w:val="single"/>
            </w:tcBorders>
            <w:vAlign w:val="top"/>
          </w:tcPr>
          <w:p w14:paraId="10000000">
            <w:pPr>
              <w:spacing w:after="0" w:before="0"/>
              <w:ind w:firstLine="0" w:left="150" w:right="150"/>
              <w:rPr>
                <w:rFonts w:ascii="Times New Roman" w:hAnsi="Times New Roman"/>
                <w:sz w:val="24"/>
              </w:rPr>
            </w:pPr>
            <w:r>
              <w:rPr>
                <w:rFonts w:ascii="Times New Roman" w:hAnsi="Times New Roman"/>
                <w:sz w:val="24"/>
              </w:rPr>
              <w:t>Высокий риск</w:t>
            </w:r>
          </w:p>
        </w:tc>
        <w:tc>
          <w:tcPr>
            <w:tcW w:type="dxa" w:w="6397"/>
            <w:tcBorders>
              <w:top w:color="000000" w:sz="6" w:val="single"/>
              <w:left w:color="000000" w:sz="6" w:val="single"/>
              <w:bottom w:color="000000" w:sz="6" w:val="single"/>
              <w:right w:color="000000" w:sz="6" w:val="single"/>
            </w:tcBorders>
            <w:vAlign w:val="top"/>
          </w:tcPr>
          <w:p w14:paraId="11000000">
            <w:pPr>
              <w:spacing w:after="0" w:before="0"/>
              <w:ind w:firstLine="0" w:left="150" w:right="150"/>
              <w:rPr>
                <w:rFonts w:ascii="Times New Roman" w:hAnsi="Times New Roman"/>
                <w:sz w:val="24"/>
              </w:rPr>
            </w:pPr>
            <w:r>
              <w:rPr>
                <w:rFonts w:ascii="Times New Roman" w:hAnsi="Times New Roman"/>
                <w:sz w:val="24"/>
              </w:rPr>
              <w:t>Общественные здания и сооружения, многоквартирные жилые дома, путепроводы, тоннели, мосты и эстакады, а также объекты капитального строительства с пролетами от 20 до 100 метров (не более 12 проверок за период строительства, реконструкции объекта капитального строительства)</w:t>
            </w:r>
          </w:p>
        </w:tc>
      </w:tr>
      <w:tr>
        <w:tc>
          <w:tcPr>
            <w:tcW w:type="dxa" w:w="807"/>
            <w:tcBorders>
              <w:top w:color="000000" w:sz="6" w:val="single"/>
              <w:left w:color="000000" w:sz="6" w:val="single"/>
              <w:bottom w:color="000000" w:sz="6" w:val="single"/>
              <w:right w:color="000000" w:sz="6" w:val="single"/>
            </w:tcBorders>
            <w:vAlign w:val="top"/>
          </w:tcPr>
          <w:p w14:paraId="12000000">
            <w:pPr>
              <w:spacing w:after="0" w:before="0"/>
              <w:ind w:firstLine="0" w:left="150" w:right="150"/>
              <w:jc w:val="center"/>
              <w:rPr>
                <w:rFonts w:ascii="Times New Roman" w:hAnsi="Times New Roman"/>
                <w:sz w:val="24"/>
              </w:rPr>
            </w:pPr>
            <w:r>
              <w:rPr>
                <w:rFonts w:ascii="Times New Roman" w:hAnsi="Times New Roman"/>
                <w:sz w:val="24"/>
              </w:rPr>
              <w:t>2.</w:t>
            </w:r>
          </w:p>
        </w:tc>
        <w:tc>
          <w:tcPr>
            <w:tcW w:type="dxa" w:w="2661"/>
            <w:tcBorders>
              <w:top w:color="000000" w:sz="6" w:val="single"/>
              <w:left w:color="000000" w:sz="6" w:val="single"/>
              <w:bottom w:color="000000" w:sz="6" w:val="single"/>
              <w:right w:color="000000" w:sz="6" w:val="single"/>
            </w:tcBorders>
            <w:vAlign w:val="top"/>
          </w:tcPr>
          <w:p w14:paraId="13000000">
            <w:pPr>
              <w:spacing w:after="0" w:before="0"/>
              <w:ind w:firstLine="0" w:left="150" w:right="150"/>
              <w:rPr>
                <w:rFonts w:ascii="Times New Roman" w:hAnsi="Times New Roman"/>
                <w:sz w:val="24"/>
              </w:rPr>
            </w:pPr>
            <w:r>
              <w:rPr>
                <w:rFonts w:ascii="Times New Roman" w:hAnsi="Times New Roman"/>
                <w:sz w:val="24"/>
              </w:rPr>
              <w:t>Значительный риск</w:t>
            </w:r>
          </w:p>
        </w:tc>
        <w:tc>
          <w:tcPr>
            <w:tcW w:type="dxa" w:w="6397"/>
            <w:tcBorders>
              <w:top w:color="000000" w:sz="6" w:val="single"/>
              <w:left w:color="000000" w:sz="6" w:val="single"/>
              <w:bottom w:color="000000" w:sz="6" w:val="single"/>
              <w:right w:color="000000" w:sz="6" w:val="single"/>
            </w:tcBorders>
            <w:vAlign w:val="top"/>
          </w:tcPr>
          <w:p w14:paraId="14000000">
            <w:pPr>
              <w:spacing w:after="0" w:before="0"/>
              <w:ind w:firstLine="0" w:left="150" w:right="150"/>
              <w:rPr>
                <w:rFonts w:ascii="Times New Roman" w:hAnsi="Times New Roman"/>
                <w:sz w:val="24"/>
              </w:rPr>
            </w:pPr>
            <w:r>
              <w:rPr>
                <w:rFonts w:ascii="Times New Roman" w:hAnsi="Times New Roman"/>
                <w:sz w:val="24"/>
              </w:rPr>
              <w:t>Производственные здания (не более 10 проверок за период строительства, реконструкции объекта капитального строительства)</w:t>
            </w:r>
          </w:p>
        </w:tc>
      </w:tr>
      <w:tr>
        <w:tc>
          <w:tcPr>
            <w:tcW w:type="dxa" w:w="807"/>
            <w:tcBorders>
              <w:top w:color="000000" w:sz="6" w:val="single"/>
              <w:left w:color="000000" w:sz="6" w:val="single"/>
              <w:bottom w:color="000000" w:sz="6" w:val="single"/>
              <w:right w:color="000000" w:sz="6" w:val="single"/>
            </w:tcBorders>
            <w:vAlign w:val="top"/>
          </w:tcPr>
          <w:p w14:paraId="15000000">
            <w:pPr>
              <w:spacing w:after="0" w:before="0"/>
              <w:ind w:firstLine="0" w:left="150" w:right="150"/>
              <w:jc w:val="center"/>
              <w:rPr>
                <w:rFonts w:ascii="Times New Roman" w:hAnsi="Times New Roman"/>
                <w:sz w:val="24"/>
              </w:rPr>
            </w:pPr>
            <w:r>
              <w:rPr>
                <w:rFonts w:ascii="Times New Roman" w:hAnsi="Times New Roman"/>
                <w:sz w:val="24"/>
              </w:rPr>
              <w:t>3.</w:t>
            </w:r>
          </w:p>
        </w:tc>
        <w:tc>
          <w:tcPr>
            <w:tcW w:type="dxa" w:w="2661"/>
            <w:tcBorders>
              <w:top w:color="000000" w:sz="6" w:val="single"/>
              <w:left w:color="000000" w:sz="6" w:val="single"/>
              <w:bottom w:color="000000" w:sz="6" w:val="single"/>
              <w:right w:color="000000" w:sz="6" w:val="single"/>
            </w:tcBorders>
            <w:vAlign w:val="top"/>
          </w:tcPr>
          <w:p w14:paraId="16000000">
            <w:pPr>
              <w:spacing w:after="0" w:before="0"/>
              <w:ind w:firstLine="0" w:left="150" w:right="150"/>
              <w:rPr>
                <w:rFonts w:ascii="Times New Roman" w:hAnsi="Times New Roman"/>
                <w:sz w:val="24"/>
              </w:rPr>
            </w:pPr>
            <w:r>
              <w:rPr>
                <w:rFonts w:ascii="Times New Roman" w:hAnsi="Times New Roman"/>
                <w:sz w:val="24"/>
              </w:rPr>
              <w:t>Умеренный риск</w:t>
            </w:r>
          </w:p>
        </w:tc>
        <w:tc>
          <w:tcPr>
            <w:tcW w:type="dxa" w:w="6397"/>
            <w:tcBorders>
              <w:top w:color="000000" w:sz="6" w:val="single"/>
              <w:left w:color="000000" w:sz="6" w:val="single"/>
              <w:bottom w:color="000000" w:sz="6" w:val="single"/>
              <w:right w:color="000000" w:sz="6" w:val="single"/>
            </w:tcBorders>
            <w:vAlign w:val="top"/>
          </w:tcPr>
          <w:p w14:paraId="17000000">
            <w:pPr>
              <w:spacing w:after="0" w:before="0"/>
              <w:ind w:firstLine="0" w:left="150" w:right="150"/>
              <w:rPr>
                <w:rFonts w:ascii="Times New Roman" w:hAnsi="Times New Roman"/>
                <w:sz w:val="24"/>
              </w:rPr>
            </w:pPr>
            <w:r>
              <w:rPr>
                <w:rFonts w:ascii="Times New Roman" w:hAnsi="Times New Roman"/>
                <w:sz w:val="24"/>
              </w:rPr>
              <w:t>Объекты капитального строительства, не указанные в</w:t>
            </w:r>
            <w:r>
              <w:rPr>
                <w:rFonts w:ascii="Times New Roman" w:hAnsi="Times New Roman"/>
                <w:sz w:val="24"/>
              </w:rPr>
              <w:t> </w:t>
            </w:r>
            <w:r>
              <w:rPr>
                <w:rFonts w:ascii="Times New Roman" w:hAnsi="Times New Roman"/>
                <w:strike w:val="0"/>
                <w:color w:val="3272C0"/>
                <w:sz w:val="24"/>
              </w:rPr>
              <w:fldChar w:fldCharType="begin"/>
            </w:r>
            <w:r>
              <w:rPr>
                <w:rFonts w:ascii="Times New Roman" w:hAnsi="Times New Roman"/>
                <w:strike w:val="0"/>
                <w:color w:val="3272C0"/>
                <w:sz w:val="24"/>
              </w:rPr>
              <w:instrText>HYPERLINK "https://internet.garant.ru/#/document/403466870/entry/11101"</w:instrText>
            </w:r>
            <w:r>
              <w:rPr>
                <w:rFonts w:ascii="Times New Roman" w:hAnsi="Times New Roman"/>
                <w:strike w:val="0"/>
                <w:color w:val="3272C0"/>
                <w:sz w:val="24"/>
              </w:rPr>
              <w:fldChar w:fldCharType="separate"/>
            </w:r>
            <w:r>
              <w:rPr>
                <w:rFonts w:ascii="Times New Roman" w:hAnsi="Times New Roman"/>
                <w:strike w:val="0"/>
                <w:color w:val="3272C0"/>
                <w:sz w:val="24"/>
              </w:rPr>
              <w:t>строках 1</w:t>
            </w:r>
            <w:r>
              <w:rPr>
                <w:rFonts w:ascii="Times New Roman" w:hAnsi="Times New Roman"/>
                <w:strike w:val="0"/>
                <w:color w:val="3272C0"/>
                <w:sz w:val="24"/>
              </w:rPr>
              <w:fldChar w:fldCharType="end"/>
            </w:r>
            <w:r>
              <w:rPr>
                <w:rFonts w:ascii="Times New Roman" w:hAnsi="Times New Roman"/>
                <w:sz w:val="24"/>
              </w:rPr>
              <w:t> </w:t>
            </w:r>
            <w:r>
              <w:rPr>
                <w:rFonts w:ascii="Times New Roman" w:hAnsi="Times New Roman"/>
                <w:sz w:val="24"/>
              </w:rPr>
              <w:t>и</w:t>
            </w:r>
            <w:r>
              <w:rPr>
                <w:rFonts w:ascii="Times New Roman" w:hAnsi="Times New Roman"/>
                <w:sz w:val="24"/>
              </w:rPr>
              <w:t> </w:t>
            </w:r>
            <w:r>
              <w:rPr>
                <w:rFonts w:ascii="Times New Roman" w:hAnsi="Times New Roman"/>
                <w:strike w:val="0"/>
                <w:color w:val="3272C0"/>
                <w:sz w:val="24"/>
              </w:rPr>
              <w:fldChar w:fldCharType="begin"/>
            </w:r>
            <w:r>
              <w:rPr>
                <w:rFonts w:ascii="Times New Roman" w:hAnsi="Times New Roman"/>
                <w:strike w:val="0"/>
                <w:color w:val="3272C0"/>
                <w:sz w:val="24"/>
              </w:rPr>
              <w:instrText>HYPERLINK "https://internet.garant.ru/#/document/403466870/entry/11102"</w:instrText>
            </w:r>
            <w:r>
              <w:rPr>
                <w:rFonts w:ascii="Times New Roman" w:hAnsi="Times New Roman"/>
                <w:strike w:val="0"/>
                <w:color w:val="3272C0"/>
                <w:sz w:val="24"/>
              </w:rPr>
              <w:fldChar w:fldCharType="separate"/>
            </w:r>
            <w:r>
              <w:rPr>
                <w:rFonts w:ascii="Times New Roman" w:hAnsi="Times New Roman"/>
                <w:strike w:val="0"/>
                <w:color w:val="3272C0"/>
                <w:sz w:val="24"/>
              </w:rPr>
              <w:t>2</w:t>
            </w:r>
            <w:r>
              <w:rPr>
                <w:rFonts w:ascii="Times New Roman" w:hAnsi="Times New Roman"/>
                <w:strike w:val="0"/>
                <w:color w:val="3272C0"/>
                <w:sz w:val="24"/>
              </w:rPr>
              <w:fldChar w:fldCharType="end"/>
            </w:r>
            <w:r>
              <w:rPr>
                <w:rFonts w:ascii="Times New Roman" w:hAnsi="Times New Roman"/>
                <w:sz w:val="24"/>
              </w:rPr>
              <w:t> </w:t>
            </w:r>
            <w:r>
              <w:rPr>
                <w:rFonts w:ascii="Times New Roman" w:hAnsi="Times New Roman"/>
                <w:sz w:val="24"/>
              </w:rPr>
              <w:t>настоящей таблицы (не более 7 проверок за период строительства, реконструкции объекта капитального строительства)</w:t>
            </w:r>
          </w:p>
        </w:tc>
      </w:tr>
      <w:tr>
        <w:tc>
          <w:tcPr>
            <w:tcW w:type="dxa" w:w="807"/>
            <w:tcBorders>
              <w:top w:color="000000" w:sz="6" w:val="single"/>
              <w:left w:color="000000" w:sz="6" w:val="single"/>
              <w:bottom w:color="000000" w:sz="6" w:val="single"/>
              <w:right w:color="000000" w:sz="6" w:val="single"/>
            </w:tcBorders>
            <w:vAlign w:val="top"/>
          </w:tcPr>
          <w:p w14:paraId="18000000">
            <w:pPr>
              <w:spacing w:after="0" w:before="0"/>
              <w:ind w:firstLine="0" w:left="150" w:right="150"/>
              <w:jc w:val="center"/>
              <w:rPr>
                <w:rFonts w:ascii="Times New Roman" w:hAnsi="Times New Roman"/>
                <w:sz w:val="24"/>
              </w:rPr>
            </w:pPr>
            <w:r>
              <w:rPr>
                <w:rFonts w:ascii="Times New Roman" w:hAnsi="Times New Roman"/>
                <w:sz w:val="24"/>
              </w:rPr>
              <w:t>4.</w:t>
            </w:r>
          </w:p>
        </w:tc>
        <w:tc>
          <w:tcPr>
            <w:tcW w:type="dxa" w:w="2661"/>
            <w:tcBorders>
              <w:top w:color="000000" w:sz="6" w:val="single"/>
              <w:left w:color="000000" w:sz="6" w:val="single"/>
              <w:bottom w:color="000000" w:sz="6" w:val="single"/>
              <w:right w:color="000000" w:sz="6" w:val="single"/>
            </w:tcBorders>
            <w:vAlign w:val="top"/>
          </w:tcPr>
          <w:p w14:paraId="19000000">
            <w:pPr>
              <w:spacing w:after="0" w:before="0"/>
              <w:ind w:firstLine="0" w:left="150" w:right="150"/>
              <w:rPr>
                <w:rFonts w:ascii="Times New Roman" w:hAnsi="Times New Roman"/>
                <w:sz w:val="24"/>
              </w:rPr>
            </w:pPr>
            <w:r>
              <w:rPr>
                <w:rFonts w:ascii="Times New Roman" w:hAnsi="Times New Roman"/>
                <w:sz w:val="24"/>
              </w:rPr>
              <w:t>Низкий риск</w:t>
            </w:r>
          </w:p>
        </w:tc>
        <w:tc>
          <w:tcPr>
            <w:tcW w:type="dxa" w:w="6397"/>
            <w:tcBorders>
              <w:top w:color="000000" w:sz="6" w:val="single"/>
              <w:left w:color="000000" w:sz="6" w:val="single"/>
              <w:bottom w:color="000000" w:sz="6" w:val="single"/>
              <w:right w:color="000000" w:sz="6" w:val="single"/>
            </w:tcBorders>
            <w:vAlign w:val="top"/>
          </w:tcPr>
          <w:p w14:paraId="1A000000">
            <w:pPr>
              <w:spacing w:after="0" w:before="0"/>
              <w:ind w:firstLine="0" w:left="150" w:right="150"/>
              <w:rPr>
                <w:rFonts w:ascii="Times New Roman" w:hAnsi="Times New Roman"/>
                <w:sz w:val="24"/>
              </w:rPr>
            </w:pPr>
            <w:r>
              <w:rPr>
                <w:rFonts w:ascii="Times New Roman" w:hAnsi="Times New Roman"/>
                <w:sz w:val="24"/>
              </w:rPr>
              <w:t>Объекты капитального строительства, не относящиеся к категориям высокого, значительного и умеренного риска</w:t>
            </w:r>
          </w:p>
        </w:tc>
      </w:tr>
    </w:tbl>
    <w:p w14:paraId="1B000000">
      <w:pPr>
        <w:spacing w:after="390" w:before="390"/>
        <w:ind w:hanging="270" w:left="270" w:right="270"/>
        <w:jc w:val="center"/>
        <w:rPr>
          <w:rFonts w:ascii="Times New Roman" w:hAnsi="Times New Roman"/>
          <w:b w:val="0"/>
          <w:i w:val="0"/>
          <w:caps w:val="0"/>
          <w:color w:val="22272F"/>
          <w:spacing w:val="0"/>
          <w:sz w:val="24"/>
          <w:highlight w:val="white"/>
        </w:rPr>
      </w:pPr>
      <w:r>
        <w:rPr>
          <w:rFonts w:ascii="Times New Roman" w:hAnsi="Times New Roman"/>
          <w:sz w:val="24"/>
        </w:rPr>
        <w:br/>
      </w:r>
    </w:p>
    <w:p w14:paraId="1C000000">
      <w:pPr>
        <w:spacing w:after="390" w:before="390"/>
        <w:ind w:hanging="270" w:left="270" w:right="270"/>
        <w:jc w:val="center"/>
        <w:rPr>
          <w:rFonts w:ascii="Times New Roman" w:hAnsi="Times New Roman"/>
          <w:b w:val="0"/>
          <w:i w:val="0"/>
          <w:caps w:val="0"/>
          <w:color w:val="22272F"/>
          <w:spacing w:val="0"/>
          <w:sz w:val="24"/>
          <w:highlight w:val="white"/>
        </w:rPr>
      </w:pPr>
    </w:p>
    <w:p w14:paraId="1D000000">
      <w:pPr>
        <w:spacing w:after="390" w:before="390"/>
        <w:ind w:hanging="270" w:left="270" w:right="270"/>
        <w:jc w:val="center"/>
        <w:rPr>
          <w:rFonts w:ascii="Times New Roman" w:hAnsi="Times New Roman"/>
          <w:b w:val="0"/>
          <w:i w:val="0"/>
          <w:caps w:val="0"/>
          <w:color w:val="22272F"/>
          <w:spacing w:val="0"/>
          <w:sz w:val="24"/>
          <w:highlight w:val="white"/>
        </w:rPr>
      </w:pPr>
    </w:p>
    <w:p w14:paraId="1E000000">
      <w:pPr>
        <w:spacing w:after="390" w:before="390"/>
        <w:ind w:hanging="270" w:left="270" w:right="270"/>
        <w:jc w:val="center"/>
        <w:rPr>
          <w:rFonts w:ascii="Times New Roman" w:hAnsi="Times New Roman"/>
          <w:b w:val="0"/>
          <w:i w:val="0"/>
          <w:caps w:val="0"/>
          <w:color w:val="22272F"/>
          <w:spacing w:val="0"/>
          <w:sz w:val="24"/>
          <w:highlight w:val="white"/>
        </w:rPr>
      </w:pPr>
    </w:p>
    <w:p w14:paraId="1F000000">
      <w:pPr>
        <w:spacing w:after="390" w:before="390"/>
        <w:ind w:hanging="270" w:left="270" w:right="270"/>
        <w:jc w:val="center"/>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Перечень</w:t>
      </w:r>
      <w:r>
        <w:rPr>
          <w:rFonts w:ascii="Times New Roman" w:hAnsi="Times New Roman"/>
          <w:sz w:val="24"/>
        </w:rPr>
        <w:br/>
      </w:r>
      <w:r>
        <w:rPr>
          <w:rFonts w:ascii="Times New Roman" w:hAnsi="Times New Roman"/>
          <w:b w:val="0"/>
          <w:i w:val="0"/>
          <w:caps w:val="0"/>
          <w:color w:val="22272F"/>
          <w:spacing w:val="0"/>
          <w:sz w:val="24"/>
          <w:highlight w:val="white"/>
        </w:rPr>
        <w:t>индикаторов риска нарушения обязательных требований при осуществлении регионального государственного строительного надзора в Камчатском крае</w:t>
      </w:r>
    </w:p>
    <w:p w14:paraId="20000000">
      <w:pPr>
        <w:spacing w:after="316" w:before="316"/>
        <w:ind w:firstLine="0" w:left="0" w:right="0"/>
        <w:jc w:val="both"/>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1. Поступление в Инспекцию государственного строительного надзора Камчатского края (далее - Инспекция) информации, в том числе содержащейся в обращениях (заявлениях) граждан и организаций, и (или) в сведениях, получаемых от органов государственной власти Камчатского края, иных государственных органов Камчатского края, федеральных органов государственной власти и иных федеральных государственных органов, осуществляющих свои полномочия на территории Камчатского края непосредственно или через создаваемые ими территориальные органы, органов местного самоуправления муниципальных образований в Камчатском крае, из средств массовой информации о наличии на земельном участке, на котором планируется осуществить строительство, реконструкцию объекта капитального строительства, указанного в</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"https://internet.garant.ru/#/document/12138258/entry/5401"</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части 1 статьи 54</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Градостроительного кодекса Российской Федерации, работающей строительной техники для производства сваебойных, свайных работ, работающей стационарной техники для изготовления и применения арматурных изделий, бетонных смесей, работающих грузоподъемных машин и механизмов, при отсутствии в Инспекции направленного застройщиком или техническим заказчиком в соответствии с</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"https://internet.garant.ru/#/document/12138258/entry/5205"</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частью 5 статьи 52</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Градостроительного кодекса Российской Федерации извещения о начале работ по строительству, реконструкции объекта капитального строительства (далее - извещение о начале работ).</w:t>
      </w:r>
    </w:p>
    <w:p w14:paraId="21000000">
      <w:pPr>
        <w:spacing w:after="316" w:before="316"/>
        <w:ind w:firstLine="0" w:left="0" w:right="0"/>
        <w:jc w:val="both"/>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2. Непоступление от застройщика или технического заказчика в адрес Инспекции извещения о начале работ в течение 30 рабочих дней со дня получения копии разрешения на строительство, направленной в соответствии с</w:t>
      </w:r>
      <w:r>
        <w:rPr>
          <w:rFonts w:ascii="Times New Roman" w:hAnsi="Times New Roman"/>
          <w:b w:val="0"/>
          <w:i w:val="0"/>
          <w:caps w:val="0"/>
          <w:color w:val="22272F"/>
          <w:spacing w:val="0"/>
          <w:sz w:val="24"/>
          <w:highlight w:val="white"/>
        </w:rPr>
        <w:t> </w:t>
      </w:r>
      <w:r>
        <w:rPr>
          <w:rFonts w:ascii="Times New Roman" w:hAnsi="Times New Roman"/>
          <w:b w:val="0"/>
          <w:i w:val="0"/>
          <w:caps w:val="0"/>
          <w:strike w:val="0"/>
          <w:color w:val="3272C0"/>
          <w:spacing w:val="0"/>
          <w:sz w:val="24"/>
          <w:highlight w:val="white"/>
        </w:rPr>
        <w:fldChar w:fldCharType="begin"/>
      </w:r>
      <w:r>
        <w:rPr>
          <w:rFonts w:ascii="Times New Roman" w:hAnsi="Times New Roman"/>
          <w:b w:val="0"/>
          <w:i w:val="0"/>
          <w:caps w:val="0"/>
          <w:strike w:val="0"/>
          <w:color w:val="3272C0"/>
          <w:spacing w:val="0"/>
          <w:sz w:val="24"/>
          <w:highlight w:val="white"/>
        </w:rPr>
        <w:instrText>HYPERLINK "https://internet.garant.ru/#/document/12138258/entry/51015"</w:instrText>
      </w:r>
      <w:r>
        <w:rPr>
          <w:rFonts w:ascii="Times New Roman" w:hAnsi="Times New Roman"/>
          <w:b w:val="0"/>
          <w:i w:val="0"/>
          <w:caps w:val="0"/>
          <w:strike w:val="0"/>
          <w:color w:val="3272C0"/>
          <w:spacing w:val="0"/>
          <w:sz w:val="24"/>
          <w:highlight w:val="white"/>
        </w:rPr>
        <w:fldChar w:fldCharType="separate"/>
      </w:r>
      <w:r>
        <w:rPr>
          <w:rFonts w:ascii="Times New Roman" w:hAnsi="Times New Roman"/>
          <w:b w:val="0"/>
          <w:i w:val="0"/>
          <w:caps w:val="0"/>
          <w:strike w:val="0"/>
          <w:color w:val="3272C0"/>
          <w:spacing w:val="0"/>
          <w:sz w:val="24"/>
          <w:highlight w:val="white"/>
        </w:rPr>
        <w:t>частью 15 статьи 51</w:t>
      </w:r>
      <w:r>
        <w:rPr>
          <w:rFonts w:ascii="Times New Roman" w:hAnsi="Times New Roman"/>
          <w:b w:val="0"/>
          <w:i w:val="0"/>
          <w:caps w:val="0"/>
          <w:strike w:val="0"/>
          <w:color w:val="3272C0"/>
          <w:spacing w:val="0"/>
          <w:sz w:val="24"/>
          <w:highlight w:val="white"/>
        </w:rPr>
        <w:fldChar w:fldCharType="end"/>
      </w:r>
      <w:r>
        <w:rPr>
          <w:rFonts w:ascii="Times New Roman" w:hAnsi="Times New Roman"/>
          <w:b w:val="0"/>
          <w:i w:val="0"/>
          <w:caps w:val="0"/>
          <w:color w:val="22272F"/>
          <w:spacing w:val="0"/>
          <w:sz w:val="24"/>
          <w:highlight w:val="white"/>
        </w:rPr>
        <w:t> </w:t>
      </w:r>
      <w:r>
        <w:rPr>
          <w:rFonts w:ascii="Times New Roman" w:hAnsi="Times New Roman"/>
          <w:b w:val="0"/>
          <w:i w:val="0"/>
          <w:caps w:val="0"/>
          <w:color w:val="22272F"/>
          <w:spacing w:val="0"/>
          <w:sz w:val="24"/>
          <w:highlight w:val="white"/>
        </w:rPr>
        <w:t>Градостроительного кодекса Российской Федерации.</w:t>
      </w:r>
    </w:p>
    <w:p w14:paraId="22000000">
      <w:pPr>
        <w:spacing w:after="316" w:before="316"/>
        <w:ind w:firstLine="0" w:left="0" w:right="0"/>
        <w:jc w:val="both"/>
        <w:rPr>
          <w:rFonts w:ascii="Times New Roman" w:hAnsi="Times New Roman"/>
          <w:b w:val="0"/>
          <w:i w:val="0"/>
          <w:caps w:val="0"/>
          <w:color w:val="22272F"/>
          <w:spacing w:val="0"/>
          <w:sz w:val="24"/>
          <w:highlight w:val="white"/>
        </w:rPr>
      </w:pPr>
      <w:r>
        <w:rPr>
          <w:rFonts w:ascii="Times New Roman" w:hAnsi="Times New Roman"/>
          <w:b w:val="0"/>
          <w:i w:val="0"/>
          <w:caps w:val="0"/>
          <w:color w:val="22272F"/>
          <w:spacing w:val="0"/>
          <w:sz w:val="24"/>
          <w:highlight w:val="white"/>
        </w:rPr>
        <w:t>3. Получение от застройщика, технического заказчика, лица, осуществляющего строительство, реконструкцию объекта капитального строительства,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по причине прекращения или приостановления контролируемым лицом работ по строительству, реконструкции объекта капитального строительства на период более чем шесть месяцев с даты поступления указанного извещения.</w:t>
      </w:r>
    </w:p>
    <w:p w14:paraId="23000000">
      <w:pPr>
        <w:spacing w:after="390" w:before="390"/>
        <w:ind w:hanging="270" w:left="270" w:right="270"/>
        <w:jc w:val="both"/>
        <w:rPr>
          <w:rFonts w:ascii="Times New Roman" w:hAnsi="Times New Roman"/>
          <w:b w:val="0"/>
          <w:i w:val="0"/>
          <w:caps w:val="0"/>
          <w:color w:val="464C55"/>
          <w:spacing w:val="0"/>
          <w:sz w:val="24"/>
          <w:shd w:fill="F0E9D3" w:val="clear"/>
        </w:rPr>
      </w:pPr>
    </w:p>
    <w:p w14:paraId="24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2024-03-24T22:07:08Z</dcterms:modified>
</cp:coreProperties>
</file>