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67" w:rsidRPr="007E2421" w:rsidRDefault="00AB1F3B" w:rsidP="00550F67">
      <w:pPr>
        <w:contextualSpacing/>
        <w:jc w:val="center"/>
        <w:rPr>
          <w:b/>
          <w:szCs w:val="26"/>
        </w:rPr>
      </w:pPr>
      <w:r>
        <w:rPr>
          <w:b/>
          <w:szCs w:val="26"/>
        </w:rPr>
        <w:t>Док</w:t>
      </w:r>
      <w:bookmarkStart w:id="0" w:name="_GoBack"/>
      <w:bookmarkEnd w:id="0"/>
      <w:r>
        <w:rPr>
          <w:b/>
          <w:szCs w:val="26"/>
        </w:rPr>
        <w:t>лад</w:t>
      </w:r>
    </w:p>
    <w:p w:rsidR="00921EFD" w:rsidRDefault="00550F67" w:rsidP="00921EFD">
      <w:pPr>
        <w:contextualSpacing/>
        <w:jc w:val="center"/>
        <w:rPr>
          <w:b/>
          <w:bCs/>
          <w:szCs w:val="26"/>
        </w:rPr>
      </w:pPr>
      <w:r w:rsidRPr="007E2421">
        <w:rPr>
          <w:b/>
          <w:szCs w:val="26"/>
        </w:rPr>
        <w:t xml:space="preserve">о выполнении мероприятий, предусмотренных </w:t>
      </w:r>
      <w:r w:rsidR="00921EFD" w:rsidRPr="00921EFD">
        <w:rPr>
          <w:b/>
          <w:szCs w:val="26"/>
        </w:rPr>
        <w:t>План</w:t>
      </w:r>
      <w:r w:rsidR="00921EFD">
        <w:rPr>
          <w:b/>
          <w:szCs w:val="26"/>
        </w:rPr>
        <w:t>ом</w:t>
      </w:r>
      <w:r w:rsidR="00921EFD" w:rsidRPr="00921EFD">
        <w:rPr>
          <w:b/>
          <w:szCs w:val="26"/>
        </w:rPr>
        <w:t xml:space="preserve"> мероприятий по организации в Инспекции государственного строительного надзора Камчатского края </w:t>
      </w:r>
      <w:r w:rsidR="00921EFD" w:rsidRPr="00921EFD">
        <w:rPr>
          <w:b/>
          <w:bCs/>
          <w:szCs w:val="26"/>
        </w:rPr>
        <w:t xml:space="preserve">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921EFD" w:rsidRPr="00921EFD">
        <w:rPr>
          <w:b/>
          <w:bCs/>
          <w:szCs w:val="26"/>
        </w:rPr>
        <w:t>комплаенса</w:t>
      </w:r>
      <w:proofErr w:type="spellEnd"/>
      <w:r w:rsidR="00921EFD" w:rsidRPr="00921EFD">
        <w:rPr>
          <w:b/>
          <w:bCs/>
          <w:szCs w:val="26"/>
        </w:rPr>
        <w:t>)</w:t>
      </w:r>
      <w:r w:rsidR="00AB1F3B">
        <w:rPr>
          <w:b/>
          <w:bCs/>
          <w:szCs w:val="26"/>
        </w:rPr>
        <w:t xml:space="preserve"> за 2021 год</w:t>
      </w:r>
    </w:p>
    <w:p w:rsidR="00346037" w:rsidRDefault="00346037" w:rsidP="000842AD">
      <w:pPr>
        <w:spacing w:line="360" w:lineRule="auto"/>
        <w:jc w:val="both"/>
        <w:rPr>
          <w:szCs w:val="26"/>
        </w:rPr>
      </w:pPr>
    </w:p>
    <w:tbl>
      <w:tblPr>
        <w:tblStyle w:val="11"/>
        <w:tblW w:w="15270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  <w:gridCol w:w="5636"/>
      </w:tblGrid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22AE">
              <w:rPr>
                <w:sz w:val="26"/>
                <w:szCs w:val="26"/>
              </w:rPr>
              <w:t>Информация об исполнении</w:t>
            </w:r>
          </w:p>
        </w:tc>
      </w:tr>
      <w:tr w:rsidR="00B923A7" w:rsidTr="00B923A7"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2. Организация внутреннего контроля </w:t>
            </w:r>
            <w:r>
              <w:rPr>
                <w:rFonts w:cs="Times New Roman"/>
                <w:b/>
                <w:color w:val="000000"/>
                <w:sz w:val="26"/>
                <w:szCs w:val="26"/>
              </w:rPr>
              <w:t>соблюдения антимонопольного законодательства</w:t>
            </w:r>
          </w:p>
        </w:tc>
      </w:tr>
      <w:tr w:rsidR="00B923A7" w:rsidTr="00B923A7"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  <w:t>2.1. Выявление и оценка рисков нарушения антимонопольного законодательства:</w:t>
            </w: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D90FDB" w:rsidP="00D90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Ежегодно </w:t>
            </w:r>
            <w:r w:rsidR="0092509D">
              <w:rPr>
                <w:rFonts w:cs="Times New Roman"/>
                <w:sz w:val="26"/>
                <w:szCs w:val="26"/>
              </w:rPr>
              <w:t>до 01.06.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За отчетный период </w:t>
            </w:r>
            <w:r>
              <w:rPr>
                <w:color w:val="000000"/>
                <w:sz w:val="26"/>
                <w:szCs w:val="26"/>
              </w:rPr>
              <w:t>нарушений антимонопольного законодательства в Инспекции не выявлено</w:t>
            </w: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>
              <w:rPr>
                <w:rFonts w:cs="Times New Roman"/>
                <w:color w:val="000000"/>
                <w:sz w:val="26"/>
                <w:szCs w:val="26"/>
              </w:rPr>
              <w:t>роведение анализа действующих нормативных правовых актов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D90FDB" w:rsidP="00D90FD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Ежегодно д</w:t>
            </w:r>
            <w:r w:rsidR="0092509D">
              <w:rPr>
                <w:rFonts w:cs="Times New Roman"/>
                <w:sz w:val="26"/>
                <w:szCs w:val="26"/>
              </w:rPr>
              <w:t>о 01.06.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 исчерпывающий перечень действующих нормативных правовых актов Инспекции, который опубликован на официальном сайте Инспекции в разделе «Текущая деятельность» 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</w:t>
            </w:r>
            <w:r>
              <w:rPr>
                <w:rFonts w:ascii="Wingdings 3" w:eastAsia="Calibri" w:hAnsi="Wingdings 3" w:cs="Wingdings 3"/>
                <w:sz w:val="26"/>
                <w:szCs w:val="26"/>
              </w:rPr>
              <w:t></w:t>
            </w:r>
            <w:r>
              <w:rPr>
                <w:sz w:val="24"/>
                <w:szCs w:val="24"/>
              </w:rPr>
              <w:t xml:space="preserve"> «Перечень действующих нормативных правовых актов Инспекции», с указанием ссылки на реестр принятых нормативных правовых актов.</w:t>
            </w:r>
          </w:p>
          <w:p w:rsidR="00C76C70" w:rsidRDefault="00C76C70" w:rsidP="00B923A7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Анализ проектов нормативных правовых актов, разрабатываемых Инспекции</w:t>
            </w: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 постоянной основе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Pr="00E23DA1" w:rsidRDefault="00C76C70" w:rsidP="00C76C7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23DA1">
              <w:rPr>
                <w:rFonts w:cs="Times New Roman"/>
                <w:color w:val="000000"/>
                <w:sz w:val="24"/>
                <w:szCs w:val="24"/>
              </w:rPr>
              <w:t xml:space="preserve">На официальном сайте Инспекции уведомления о проведении публичных консультаций в рамках анализа </w:t>
            </w:r>
          </w:p>
          <w:p w:rsidR="00C76C70" w:rsidRDefault="00C76C70" w:rsidP="00C76C70">
            <w:pPr>
              <w:rPr>
                <w:rFonts w:cs="Times New Roman"/>
                <w:sz w:val="26"/>
                <w:szCs w:val="26"/>
              </w:rPr>
            </w:pPr>
            <w:r w:rsidRPr="00E23DA1">
              <w:rPr>
                <w:rFonts w:cs="Times New Roman"/>
                <w:color w:val="000000"/>
                <w:sz w:val="24"/>
                <w:szCs w:val="24"/>
              </w:rPr>
              <w:t>нормативных правовых актов на соответствие их антимонопольному законодательству размещаются в установленные сроки</w:t>
            </w: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мониторинга и анализа практики применения антимонопольного законодательства в Инспекции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 w:rsidP="00E23DA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До </w:t>
            </w:r>
            <w:r w:rsidR="0091433A">
              <w:rPr>
                <w:rFonts w:cs="Times New Roman"/>
                <w:sz w:val="26"/>
                <w:szCs w:val="26"/>
              </w:rPr>
              <w:t>01.07.</w:t>
            </w:r>
            <w:r w:rsidR="00E23DA1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отче</w:t>
            </w:r>
            <w:r w:rsidR="00D90FDB">
              <w:rPr>
                <w:sz w:val="24"/>
                <w:szCs w:val="24"/>
              </w:rPr>
              <w:t>тный период изменения правоприме</w:t>
            </w:r>
            <w:r>
              <w:rPr>
                <w:sz w:val="24"/>
                <w:szCs w:val="24"/>
              </w:rPr>
              <w:t>нительной практики в Инспекции не выявлены.</w:t>
            </w:r>
          </w:p>
          <w:p w:rsidR="00C76C70" w:rsidRDefault="00D90FDB" w:rsidP="00B923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Аспекты правоприме</w:t>
            </w:r>
            <w:r w:rsidR="00C76C70">
              <w:rPr>
                <w:sz w:val="24"/>
                <w:szCs w:val="24"/>
              </w:rPr>
              <w:t xml:space="preserve">нительной практики в Инспекции -  сфера контроля (надзора) за </w:t>
            </w:r>
            <w:r w:rsidR="00C76C70">
              <w:rPr>
                <w:sz w:val="24"/>
                <w:szCs w:val="24"/>
              </w:rPr>
              <w:lastRenderedPageBreak/>
              <w:t>исполнением требований градостроительного законодательства.</w:t>
            </w:r>
          </w:p>
          <w:p w:rsidR="00C76C70" w:rsidRDefault="00D90FDB" w:rsidP="00B923A7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Проблем </w:t>
            </w:r>
            <w:proofErr w:type="spellStart"/>
            <w:r>
              <w:rPr>
                <w:sz w:val="24"/>
                <w:szCs w:val="24"/>
              </w:rPr>
              <w:t>правопри</w:t>
            </w:r>
            <w:r w:rsidR="00C76C70">
              <w:rPr>
                <w:sz w:val="24"/>
                <w:szCs w:val="24"/>
              </w:rPr>
              <w:t>менения</w:t>
            </w:r>
            <w:proofErr w:type="spellEnd"/>
            <w:r w:rsidR="00C76C70">
              <w:rPr>
                <w:sz w:val="24"/>
                <w:szCs w:val="24"/>
              </w:rPr>
              <w:t xml:space="preserve"> за отчетный период не выявлено</w:t>
            </w: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Выявления рисков нарушения антимонопольного законодательства.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E23DA1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 01.07.</w:t>
            </w:r>
            <w:r w:rsidR="0091433A">
              <w:rPr>
                <w:rFonts w:cs="Times New Roman"/>
                <w:sz w:val="26"/>
                <w:szCs w:val="26"/>
              </w:rPr>
              <w:t xml:space="preserve"> года</w:t>
            </w:r>
          </w:p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</w:p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sz w:val="24"/>
                <w:szCs w:val="24"/>
              </w:rPr>
              <w:t>Составлена карта рисков нарушения антимонопольного законодательства.</w:t>
            </w:r>
          </w:p>
        </w:tc>
      </w:tr>
      <w:tr w:rsidR="00B923A7" w:rsidTr="00B923A7"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eastAsia="ru-RU"/>
              </w:rPr>
            </w:pPr>
            <w:r>
              <w:rPr>
                <w:rFonts w:cs="Times New Roman"/>
                <w:b/>
                <w:sz w:val="26"/>
                <w:szCs w:val="26"/>
                <w:lang w:eastAsia="ru-RU"/>
              </w:rPr>
              <w:t>2.2. Мероприятия по снижению рисков нарушения антимонопольного законодательства</w:t>
            </w:r>
          </w:p>
          <w:p w:rsidR="00B923A7" w:rsidRDefault="00B923A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  <w:i/>
                <w:sz w:val="26"/>
                <w:szCs w:val="26"/>
                <w:lang w:eastAsia="ru-RU"/>
              </w:rPr>
            </w:pPr>
            <w:r>
              <w:rPr>
                <w:rFonts w:cs="Times New Roman"/>
                <w:i/>
                <w:sz w:val="26"/>
                <w:szCs w:val="26"/>
                <w:lang w:eastAsia="ru-RU"/>
              </w:rPr>
              <w:t>⃰ (мероприятия разрабатываются после выполнения мероприятий, указанных в пункте 2.1. настоящей «дорожной карты)</w:t>
            </w:r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Мониторинг исполнения плана мероприятий («дорожных карт») по снижению рисков нарушения антимонопольного законодательства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Pr="00E23DA1" w:rsidRDefault="00C76C7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23DA1">
              <w:rPr>
                <w:bCs/>
                <w:color w:val="000000"/>
                <w:sz w:val="24"/>
                <w:szCs w:val="24"/>
              </w:rPr>
              <w:t>Мониторинг исполнения плана мероприятий «дорожных карт» по снижению рисков нарушения антимонопольного законодательства проводится постоянно</w:t>
            </w:r>
          </w:p>
        </w:tc>
      </w:tr>
      <w:tr w:rsidR="00B923A7" w:rsidTr="00B923A7">
        <w:trPr>
          <w:trHeight w:val="349"/>
        </w:trPr>
        <w:tc>
          <w:tcPr>
            <w:tcW w:w="15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3A7" w:rsidRPr="00E23DA1" w:rsidRDefault="00B923A7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23DA1">
              <w:rPr>
                <w:rFonts w:cs="Times New Roman"/>
                <w:b/>
                <w:sz w:val="24"/>
                <w:szCs w:val="24"/>
              </w:rPr>
              <w:t xml:space="preserve">2.3. Оценка эффективности функционирования антимонопольного </w:t>
            </w:r>
            <w:proofErr w:type="spellStart"/>
            <w:r w:rsidRPr="00E23DA1">
              <w:rPr>
                <w:rFonts w:cs="Times New Roman"/>
                <w:b/>
                <w:sz w:val="24"/>
                <w:szCs w:val="24"/>
              </w:rPr>
              <w:t>комплаенса</w:t>
            </w:r>
            <w:proofErr w:type="spellEnd"/>
          </w:p>
        </w:tc>
      </w:tr>
      <w:tr w:rsidR="00C76C70" w:rsidTr="00E23DA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Default="00C76C7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оценки достижения ключевых показателей эффективности</w:t>
            </w:r>
            <w:r>
              <w:rPr>
                <w:rFonts w:cs="Times New Roman"/>
                <w:color w:val="000000"/>
                <w:sz w:val="26"/>
                <w:szCs w:val="26"/>
              </w:rPr>
              <w:br/>
              <w:t xml:space="preserve">реализации мероприятий антимонопольного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</w:rPr>
              <w:t>комплаенса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70" w:rsidRDefault="00C76C70" w:rsidP="00E23DA1">
            <w:pPr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cs="Times New Roman"/>
                <w:sz w:val="26"/>
                <w:szCs w:val="26"/>
              </w:rPr>
              <w:t xml:space="preserve">До </w:t>
            </w:r>
            <w:r w:rsidR="003548E5">
              <w:rPr>
                <w:rFonts w:cs="Times New Roman"/>
                <w:sz w:val="26"/>
                <w:szCs w:val="26"/>
              </w:rPr>
              <w:t xml:space="preserve"> 01.10</w:t>
            </w:r>
            <w:proofErr w:type="gramEnd"/>
            <w:r w:rsidR="003548E5">
              <w:rPr>
                <w:rFonts w:cs="Times New Roman"/>
                <w:sz w:val="26"/>
                <w:szCs w:val="26"/>
              </w:rPr>
              <w:t>.</w:t>
            </w:r>
            <w:r w:rsidR="00E23DA1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70" w:rsidRPr="00E23DA1" w:rsidRDefault="00C76C70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23DA1">
              <w:rPr>
                <w:rFonts w:cs="Times New Roman"/>
                <w:sz w:val="24"/>
                <w:szCs w:val="24"/>
              </w:rPr>
              <w:t xml:space="preserve">Справка о достижении ключевых показателей эффективности функционирования в Инспекции антимонопольного </w:t>
            </w:r>
            <w:proofErr w:type="spellStart"/>
            <w:r w:rsidRPr="00E23DA1">
              <w:rPr>
                <w:rFonts w:cs="Times New Roman"/>
                <w:sz w:val="24"/>
                <w:szCs w:val="24"/>
              </w:rPr>
              <w:t>комплаенса</w:t>
            </w:r>
            <w:proofErr w:type="spellEnd"/>
            <w:r w:rsidRPr="00E23DA1">
              <w:rPr>
                <w:rFonts w:cs="Times New Roman"/>
                <w:sz w:val="24"/>
                <w:szCs w:val="24"/>
              </w:rPr>
              <w:t xml:space="preserve"> составлена в установленные сроки</w:t>
            </w:r>
          </w:p>
        </w:tc>
      </w:tr>
    </w:tbl>
    <w:tbl>
      <w:tblPr>
        <w:tblStyle w:val="a6"/>
        <w:tblW w:w="179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5"/>
        <w:gridCol w:w="222"/>
        <w:gridCol w:w="1906"/>
      </w:tblGrid>
      <w:tr w:rsidR="00123B54" w:rsidRPr="00FE7942" w:rsidTr="00AB1F3B">
        <w:tc>
          <w:tcPr>
            <w:tcW w:w="15785" w:type="dxa"/>
          </w:tcPr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B1F3B" w:rsidRDefault="00AB1F3B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20F5D" w:rsidRDefault="00C20F5D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794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Карта рисков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нарушения антимонопольного законодательства </w:t>
            </w:r>
          </w:p>
          <w:p w:rsidR="00C20F5D" w:rsidRDefault="00C20F5D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Pr="00FE7942">
              <w:rPr>
                <w:rFonts w:ascii="Times New Roman" w:hAnsi="Times New Roman" w:cs="Times New Roman"/>
                <w:b/>
                <w:sz w:val="26"/>
                <w:szCs w:val="26"/>
              </w:rPr>
              <w:t>Инспекции государственного строительного надзора Камчатского края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20F5D" w:rsidRPr="00FE7942" w:rsidRDefault="00E23DA1" w:rsidP="00C20F5D">
            <w:pPr>
              <w:pStyle w:val="ConsPlusNormal"/>
              <w:tabs>
                <w:tab w:val="left" w:pos="851"/>
              </w:tabs>
              <w:ind w:left="284"/>
              <w:jc w:val="center"/>
              <w:outlineLvl w:val="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 2021</w:t>
            </w:r>
            <w:r w:rsidR="00C20F5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C20F5D" w:rsidRPr="00FE7942" w:rsidRDefault="00C20F5D" w:rsidP="00C20F5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4"/>
              <w:jc w:val="center"/>
              <w:outlineLvl w:val="1"/>
              <w:rPr>
                <w:b/>
                <w:sz w:val="26"/>
                <w:szCs w:val="26"/>
              </w:rPr>
            </w:pPr>
          </w:p>
          <w:tbl>
            <w:tblPr>
              <w:tblStyle w:val="4"/>
              <w:tblW w:w="15309" w:type="dxa"/>
              <w:tblInd w:w="250" w:type="dxa"/>
              <w:tblLook w:val="04A0" w:firstRow="1" w:lastRow="0" w:firstColumn="1" w:lastColumn="0" w:noHBand="0" w:noVBand="1"/>
            </w:tblPr>
            <w:tblGrid>
              <w:gridCol w:w="458"/>
              <w:gridCol w:w="2610"/>
              <w:gridCol w:w="3981"/>
              <w:gridCol w:w="4728"/>
              <w:gridCol w:w="1654"/>
              <w:gridCol w:w="1878"/>
            </w:tblGrid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Описание рисков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Причины возникновения рисков и их оценка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Мероприятия по минимизации и устранению рисков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Наличие (отсутствие) остаточных рисков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1F6113">
                    <w:rPr>
                      <w:b/>
                      <w:sz w:val="24"/>
                      <w:szCs w:val="24"/>
                    </w:rPr>
                    <w:t>Вероятность повторного возникновения рисков</w:t>
                  </w: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Вероятность выдачи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предупреждения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правовой подготовки в сфере антимонопольного законодательства сотрудника Инспекции, ответственного за организацию системы внутреннего обеспечения соответствия требованиям антимонопольного законодательства, в связи с отсутствием обучения в данной сфере деятельности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Проведение обучения сотрудника Инспекции, ответственного за организацию системы внутреннего обеспечения соответствия требованиям антимонопольного законодательства 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Снижение уровня рисков</w:t>
                  </w:r>
                  <w:r w:rsidR="009A7658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Вероятность выдачи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предупреждения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правовой подготовки в сфере организации системы внутреннего обеспечения соответствия требованиям антимонопольного законодательства сотрудников Инспекции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Проведение сотрудником инспекции, ответственным за организацию системы внутреннего обеспечения соответствия требованиям антимонопольного законодательства обучающих совещаний при руководителе Инспекции</w:t>
                  </w:r>
                </w:p>
              </w:tc>
              <w:tc>
                <w:tcPr>
                  <w:tcW w:w="1603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Снижения уровня</w:t>
                  </w:r>
                  <w:r w:rsidR="009A7658" w:rsidRPr="001F6113">
                    <w:rPr>
                      <w:sz w:val="24"/>
                      <w:szCs w:val="24"/>
                    </w:rPr>
                    <w:t xml:space="preserve"> рисков,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предупреждения, возбуждения дела о нарушении 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 xml:space="preserve">Нарушения при осуществлении закупок товаров, работ, услуг для обеспечения государственных нужд </w:t>
                  </w:r>
                  <w:proofErr w:type="gramStart"/>
                  <w:r w:rsidRPr="001F6113">
                    <w:rPr>
                      <w:sz w:val="24"/>
                      <w:szCs w:val="24"/>
                    </w:rPr>
                    <w:t>в соответствии с Федеральный закон</w:t>
                  </w:r>
                  <w:proofErr w:type="gramEnd"/>
                  <w:r w:rsidRPr="001F6113">
                    <w:rPr>
                      <w:sz w:val="24"/>
                      <w:szCs w:val="24"/>
                    </w:rPr>
                    <w:t xml:space="preserve"> от 05.04.2013 N 44-ФЗ, которые привели к ограничению конкуренции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1. Осуществление текущего контроля закупочной деятельности.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2. Совершенствование механизмов контроля.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3. Обучение ответственных сотрудников. 4. Исключение взаимодействия сотрудников ответственных за подготовку документации, участвующих в процедуре определения подрядчика, поставщика, исполнителя по государственным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контрактам с хозяйствующими субъектами</w:t>
                  </w: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Принятие актов,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актов. Некачественное проведение правовых и антикоррупционных экспертиз, в том числе в части соответствия проекта акта требованиям антимонопольного законодательства</w:t>
                  </w: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Мониторинг и анализ практики применения антимонопольного законодательства, при необходимости инициирование внесения необходимых изменений. Проведение правовой экспертизы в отношении актов, антикоррупционной экспертизы в отношении проектов нормативных правовых актов. Обеспечение размещения на официальном сайте министерства проекта нормативного правового акта, Осуществление сбора и проведение оценки поступивших от организаций и граждан замечаний и предложений по проекту нормативного правового акта</w:t>
                  </w: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44474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1F6113" w:rsidRPr="001F6113" w:rsidTr="001F6113">
              <w:tc>
                <w:tcPr>
                  <w:tcW w:w="458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16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 xml:space="preserve">Отрицательное влияние на отношение институтов гражданского общества к деятельности </w:t>
                  </w:r>
                  <w:r w:rsidRPr="001F6113">
                    <w:rPr>
                      <w:sz w:val="24"/>
                      <w:szCs w:val="24"/>
                      <w:lang w:eastAsia="ar-SA"/>
                    </w:rPr>
                    <w:t>Инспекции</w:t>
                  </w:r>
                  <w:r w:rsidRPr="001F6113">
                    <w:rPr>
                      <w:sz w:val="24"/>
                      <w:szCs w:val="24"/>
                    </w:rPr>
                    <w:t xml:space="preserve"> по развитию конкуренции, вероятность выдачи предупреждения, возбуждения дела о нарушении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антимонопольного законодательства, наложения штрафа отсутствует</w:t>
                  </w:r>
                </w:p>
              </w:tc>
              <w:tc>
                <w:tcPr>
                  <w:tcW w:w="3999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 xml:space="preserve">Необоснованное принятие решения о выдаче (отказе в выдаче)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</w:t>
                  </w:r>
                  <w:r w:rsidRPr="001F6113">
                    <w:rPr>
                      <w:sz w:val="24"/>
                      <w:szCs w:val="24"/>
                    </w:rPr>
                    <w:lastRenderedPageBreak/>
                    <w:t>приборами учёта используемых энергетических ресурсов.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t>Недостаточный уровень внутреннего контроля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755" w:type="dxa"/>
                </w:tcPr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Организация внутреннего контроля. Четкая правовая регламентация Порядка выдачи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учёта используемых энергетических ресурсов.</w:t>
                  </w:r>
                </w:p>
                <w:p w:rsidR="00C20F5D" w:rsidRPr="001F6113" w:rsidRDefault="00C20F5D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34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</w:tcPr>
                <w:p w:rsidR="00C20F5D" w:rsidRPr="001F6113" w:rsidRDefault="009A7658" w:rsidP="00C20F5D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1F6113">
                    <w:rPr>
                      <w:sz w:val="24"/>
                      <w:szCs w:val="24"/>
                    </w:rPr>
                    <w:lastRenderedPageBreak/>
                    <w:t>Снижение уровня рисков</w:t>
                  </w:r>
                  <w:r w:rsidR="001F6113" w:rsidRPr="001F6113">
                    <w:rPr>
                      <w:sz w:val="24"/>
                      <w:szCs w:val="24"/>
                    </w:rPr>
                    <w:t>, остаточные риски присутствуют</w:t>
                  </w:r>
                </w:p>
              </w:tc>
              <w:tc>
                <w:tcPr>
                  <w:tcW w:w="1878" w:type="dxa"/>
                </w:tcPr>
                <w:p w:rsidR="00C20F5D" w:rsidRPr="001F6113" w:rsidRDefault="00C20F5D" w:rsidP="0044474F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0F5D" w:rsidRPr="001F6113" w:rsidRDefault="00C20F5D" w:rsidP="00C20F5D">
            <w:pPr>
              <w:tabs>
                <w:tab w:val="left" w:pos="3336"/>
              </w:tabs>
              <w:ind w:firstLine="142"/>
              <w:rPr>
                <w:sz w:val="24"/>
                <w:szCs w:val="24"/>
              </w:rPr>
            </w:pPr>
          </w:p>
          <w:p w:rsidR="00123B54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</w:tc>
        <w:tc>
          <w:tcPr>
            <w:tcW w:w="1906" w:type="dxa"/>
          </w:tcPr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Pr="00FE7942" w:rsidRDefault="00123B54" w:rsidP="00B94590">
            <w:pPr>
              <w:tabs>
                <w:tab w:val="left" w:pos="3336"/>
              </w:tabs>
              <w:rPr>
                <w:sz w:val="26"/>
                <w:szCs w:val="26"/>
              </w:rPr>
            </w:pPr>
          </w:p>
          <w:p w:rsidR="00123B54" w:rsidRDefault="00123B54" w:rsidP="00B94590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</w:p>
          <w:p w:rsidR="00123B54" w:rsidRPr="00FE7942" w:rsidRDefault="00123B54" w:rsidP="003548E5">
            <w:pPr>
              <w:tabs>
                <w:tab w:val="left" w:pos="3336"/>
              </w:tabs>
              <w:jc w:val="right"/>
              <w:rPr>
                <w:sz w:val="26"/>
                <w:szCs w:val="26"/>
              </w:rPr>
            </w:pPr>
            <w:r w:rsidRPr="00FE7942">
              <w:rPr>
                <w:sz w:val="26"/>
                <w:szCs w:val="26"/>
              </w:rPr>
              <w:t>/</w:t>
            </w:r>
            <w:proofErr w:type="spellStart"/>
            <w:r w:rsidR="003548E5">
              <w:rPr>
                <w:sz w:val="26"/>
                <w:szCs w:val="26"/>
              </w:rPr>
              <w:t>И.Б.Чудинова</w:t>
            </w:r>
            <w:proofErr w:type="spellEnd"/>
            <w:r w:rsidRPr="00FE7942">
              <w:rPr>
                <w:sz w:val="26"/>
                <w:szCs w:val="26"/>
              </w:rPr>
              <w:t>/</w:t>
            </w:r>
          </w:p>
        </w:tc>
      </w:tr>
    </w:tbl>
    <w:p w:rsidR="00123785" w:rsidRPr="00C31763" w:rsidRDefault="00123785" w:rsidP="00123785">
      <w:pPr>
        <w:contextualSpacing/>
        <w:jc w:val="center"/>
        <w:rPr>
          <w:b/>
          <w:sz w:val="24"/>
          <w:szCs w:val="24"/>
          <w:lang w:val="en-US"/>
        </w:rPr>
      </w:pPr>
    </w:p>
    <w:p w:rsidR="00123785" w:rsidRDefault="00123785" w:rsidP="000842AD">
      <w:pPr>
        <w:spacing w:line="360" w:lineRule="auto"/>
        <w:jc w:val="both"/>
        <w:rPr>
          <w:szCs w:val="26"/>
        </w:rPr>
        <w:sectPr w:rsidR="00123785" w:rsidSect="00E570E5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Справка 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достижении ключевых показателей эффективности функционирования в Инспекции антимонопольного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*</w:t>
      </w:r>
    </w:p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89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4520"/>
        <w:gridCol w:w="1276"/>
        <w:gridCol w:w="1275"/>
        <w:gridCol w:w="1276"/>
      </w:tblGrid>
      <w:tr w:rsidR="00123785" w:rsidRPr="00123785" w:rsidTr="00B94590">
        <w:trPr>
          <w:cantSplit/>
          <w:tblHeader/>
          <w:jc w:val="center"/>
        </w:trPr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№ </w:t>
            </w:r>
            <w:proofErr w:type="spellStart"/>
            <w:r w:rsidRPr="00123785">
              <w:rPr>
                <w:sz w:val="24"/>
                <w:szCs w:val="24"/>
              </w:rPr>
              <w:t>п.п</w:t>
            </w:r>
            <w:proofErr w:type="spellEnd"/>
            <w:r w:rsidRPr="00123785">
              <w:rPr>
                <w:sz w:val="24"/>
                <w:szCs w:val="24"/>
              </w:rPr>
              <w:t>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Ключевой показатель эффективности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Критерии оценки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Оценка </w:t>
            </w: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 баллах</w:t>
            </w:r>
          </w:p>
        </w:tc>
      </w:tr>
      <w:tr w:rsidR="00123785" w:rsidRPr="00123785" w:rsidTr="00B94590">
        <w:trPr>
          <w:cantSplit/>
          <w:trHeight w:val="510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ind w:firstLine="360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  <w:lang w:bidi="en-US"/>
              </w:rPr>
            </w:pPr>
            <w:r w:rsidRPr="00123785">
              <w:rPr>
                <w:sz w:val="24"/>
                <w:szCs w:val="24"/>
              </w:rPr>
              <w:t>Проведение семинаров, мероприятий по вопросам, связанным с соблюдением антимонопольного законодательства и</w:t>
            </w:r>
            <w:r w:rsidR="00E23DA1">
              <w:rPr>
                <w:sz w:val="24"/>
                <w:szCs w:val="24"/>
              </w:rPr>
              <w:t xml:space="preserve"> антимонопольным </w:t>
            </w:r>
            <w:proofErr w:type="spellStart"/>
            <w:r w:rsidR="00E23DA1">
              <w:rPr>
                <w:sz w:val="24"/>
                <w:szCs w:val="24"/>
              </w:rPr>
              <w:t>комплаенсом</w:t>
            </w:r>
            <w:proofErr w:type="spellEnd"/>
            <w:r w:rsidR="00E23DA1">
              <w:rPr>
                <w:sz w:val="24"/>
                <w:szCs w:val="24"/>
              </w:rPr>
              <w:t xml:space="preserve"> – 3</w:t>
            </w:r>
            <w:r w:rsidRPr="00123785">
              <w:rPr>
                <w:sz w:val="24"/>
                <w:szCs w:val="24"/>
              </w:rPr>
              <w:t xml:space="preserve"> единицы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936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Выполнение плана мероприятий «дорожной карты» по снижению рисков нарушения антимонопольного законодательства</w:t>
            </w:r>
          </w:p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отсутствуют необоснованные отклонения от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</w:tr>
      <w:tr w:rsidR="00123785" w:rsidRPr="00123785" w:rsidTr="00B94590">
        <w:trPr>
          <w:cantSplit/>
          <w:trHeight w:val="17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Наличие в карте рисков: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</w:tr>
      <w:tr w:rsidR="00123785" w:rsidRPr="00123785" w:rsidTr="00B94590">
        <w:trPr>
          <w:cantSplit/>
          <w:trHeight w:val="36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 - рисков высокого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30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существенного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240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рисков незначительного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23785" w:rsidRPr="00123785" w:rsidTr="00B94590">
        <w:trPr>
          <w:cantSplit/>
          <w:trHeight w:val="364"/>
          <w:jc w:val="center"/>
        </w:trPr>
        <w:tc>
          <w:tcPr>
            <w:tcW w:w="5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низкого уровня;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8</w:t>
            </w:r>
          </w:p>
        </w:tc>
      </w:tr>
      <w:tr w:rsidR="00123785" w:rsidRPr="00123785" w:rsidTr="00B94590">
        <w:trPr>
          <w:cantSplit/>
          <w:trHeight w:val="411"/>
          <w:jc w:val="center"/>
        </w:trPr>
        <w:tc>
          <w:tcPr>
            <w:tcW w:w="5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- отсутствие рисков.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0</w:t>
            </w:r>
          </w:p>
        </w:tc>
      </w:tr>
      <w:tr w:rsidR="00123785" w:rsidRPr="00123785" w:rsidTr="00B94590">
        <w:trPr>
          <w:cantSplit/>
          <w:trHeight w:val="672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 xml:space="preserve">Отсутствие обоснованных замечаний, собранных при проведении анализа проектов нормативных правовых актов Инспекции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3548E5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529"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Отсутствие обоснованных замечаний, собранных при проведении анализа нормативных правовых актов Инспекции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785" w:rsidRPr="00123785" w:rsidRDefault="00123785" w:rsidP="00B94590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3548E5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</w:p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10</w:t>
            </w:r>
          </w:p>
        </w:tc>
      </w:tr>
      <w:tr w:rsidR="00123785" w:rsidRPr="00123785" w:rsidTr="00B94590">
        <w:trPr>
          <w:cantSplit/>
          <w:trHeight w:val="344"/>
          <w:jc w:val="center"/>
        </w:trPr>
        <w:tc>
          <w:tcPr>
            <w:tcW w:w="764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123785" w:rsidP="00B94590">
            <w:pPr>
              <w:jc w:val="center"/>
              <w:rPr>
                <w:sz w:val="24"/>
                <w:szCs w:val="24"/>
              </w:rPr>
            </w:pPr>
            <w:r w:rsidRPr="00123785">
              <w:rPr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3785" w:rsidRPr="00123785" w:rsidRDefault="009A03D9" w:rsidP="00B94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</w:tr>
    </w:tbl>
    <w:p w:rsidR="00123785" w:rsidRDefault="00123785" w:rsidP="00123785">
      <w:pPr>
        <w:pStyle w:val="ConsPlusNormal"/>
        <w:tabs>
          <w:tab w:val="left" w:pos="851"/>
        </w:tabs>
        <w:ind w:left="284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Методикой расчета ключевых показателей эффективности </w:t>
      </w:r>
      <w:r w:rsidRPr="003849D6">
        <w:rPr>
          <w:rFonts w:ascii="Times New Roman" w:hAnsi="Times New Roman" w:cs="Times New Roman"/>
          <w:sz w:val="26"/>
          <w:szCs w:val="26"/>
        </w:rPr>
        <w:t xml:space="preserve">функционирования в Инспекции антимонопольного </w:t>
      </w:r>
      <w:proofErr w:type="spellStart"/>
      <w:proofErr w:type="gramStart"/>
      <w:r w:rsidRPr="003849D6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9A03D9">
        <w:rPr>
          <w:rFonts w:ascii="Times New Roman" w:hAnsi="Times New Roman" w:cs="Times New Roman"/>
          <w:sz w:val="26"/>
          <w:szCs w:val="26"/>
        </w:rPr>
        <w:t>,  Инспекцией</w:t>
      </w:r>
      <w:proofErr w:type="gramEnd"/>
      <w:r w:rsidR="009A03D9">
        <w:rPr>
          <w:rFonts w:ascii="Times New Roman" w:hAnsi="Times New Roman" w:cs="Times New Roman"/>
          <w:sz w:val="26"/>
          <w:szCs w:val="26"/>
        </w:rPr>
        <w:t xml:space="preserve"> набрано 78</w:t>
      </w:r>
      <w:r>
        <w:rPr>
          <w:rFonts w:ascii="Times New Roman" w:hAnsi="Times New Roman" w:cs="Times New Roman"/>
          <w:sz w:val="26"/>
          <w:szCs w:val="26"/>
        </w:rPr>
        <w:t xml:space="preserve"> баллов, что относится к группе «Хороший уровень»</w:t>
      </w:r>
      <w:r w:rsidRPr="009A6808">
        <w:t xml:space="preserve"> </w:t>
      </w:r>
      <w:r w:rsidRPr="009A6808">
        <w:rPr>
          <w:rFonts w:ascii="Times New Roman" w:hAnsi="Times New Roman" w:cs="Times New Roman"/>
          <w:sz w:val="26"/>
          <w:szCs w:val="26"/>
        </w:rPr>
        <w:t>достижени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A6808">
        <w:rPr>
          <w:rFonts w:ascii="Times New Roman" w:hAnsi="Times New Roman" w:cs="Times New Roman"/>
          <w:sz w:val="26"/>
          <w:szCs w:val="26"/>
        </w:rPr>
        <w:t xml:space="preserve"> ключевых показателей эффективности функционирования антимонопольного </w:t>
      </w:r>
      <w:proofErr w:type="spellStart"/>
      <w:r w:rsidRPr="009A6808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23785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23785" w:rsidRPr="003849D6" w:rsidRDefault="00123785" w:rsidP="00123785">
      <w:pPr>
        <w:pStyle w:val="ConsPlusNormal"/>
        <w:tabs>
          <w:tab w:val="left" w:pos="851"/>
        </w:tabs>
        <w:ind w:firstLine="1276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sectPr w:rsidR="00123785" w:rsidRPr="003849D6" w:rsidSect="009A6808">
      <w:footerReference w:type="default" r:id="rId8"/>
      <w:pgSz w:w="11900" w:h="16800"/>
      <w:pgMar w:top="567" w:right="567" w:bottom="709" w:left="1134" w:header="720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AC" w:rsidRDefault="00A72AAC">
      <w:r>
        <w:separator/>
      </w:r>
    </w:p>
  </w:endnote>
  <w:endnote w:type="continuationSeparator" w:id="0">
    <w:p w:rsidR="00A72AAC" w:rsidRDefault="00A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808" w:rsidRPr="00280CA2" w:rsidRDefault="00A72AAC" w:rsidP="00280C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AC" w:rsidRDefault="00A72AAC">
      <w:r>
        <w:separator/>
      </w:r>
    </w:p>
  </w:footnote>
  <w:footnote w:type="continuationSeparator" w:id="0">
    <w:p w:rsidR="00A72AAC" w:rsidRDefault="00A72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37D0140"/>
    <w:multiLevelType w:val="hybridMultilevel"/>
    <w:tmpl w:val="02A496AE"/>
    <w:lvl w:ilvl="0" w:tplc="47E6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605854"/>
    <w:multiLevelType w:val="hybridMultilevel"/>
    <w:tmpl w:val="C35E9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B7D9D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1B25"/>
    <w:multiLevelType w:val="hybridMultilevel"/>
    <w:tmpl w:val="5B02E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F5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0F7AC4"/>
    <w:multiLevelType w:val="hybridMultilevel"/>
    <w:tmpl w:val="36D28426"/>
    <w:lvl w:ilvl="0" w:tplc="914CB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29369E"/>
    <w:multiLevelType w:val="multilevel"/>
    <w:tmpl w:val="35DA5B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B6158C"/>
    <w:multiLevelType w:val="hybridMultilevel"/>
    <w:tmpl w:val="7BF02714"/>
    <w:lvl w:ilvl="0" w:tplc="BBE03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45D72EC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3"/>
    <w:rsid w:val="00011C9E"/>
    <w:rsid w:val="00012AE7"/>
    <w:rsid w:val="000230C6"/>
    <w:rsid w:val="000272FE"/>
    <w:rsid w:val="00043654"/>
    <w:rsid w:val="00045166"/>
    <w:rsid w:val="000612B2"/>
    <w:rsid w:val="00061E10"/>
    <w:rsid w:val="00066EB5"/>
    <w:rsid w:val="000679E7"/>
    <w:rsid w:val="00077F46"/>
    <w:rsid w:val="0008367F"/>
    <w:rsid w:val="000842AD"/>
    <w:rsid w:val="00090729"/>
    <w:rsid w:val="00094479"/>
    <w:rsid w:val="000A1603"/>
    <w:rsid w:val="000A2B87"/>
    <w:rsid w:val="000B23F3"/>
    <w:rsid w:val="000B3510"/>
    <w:rsid w:val="000B577E"/>
    <w:rsid w:val="000C525C"/>
    <w:rsid w:val="000C5A72"/>
    <w:rsid w:val="000D0923"/>
    <w:rsid w:val="000D2C3F"/>
    <w:rsid w:val="000D3BF5"/>
    <w:rsid w:val="000D41AC"/>
    <w:rsid w:val="000E596A"/>
    <w:rsid w:val="000F0DF7"/>
    <w:rsid w:val="000F207E"/>
    <w:rsid w:val="000F4FBA"/>
    <w:rsid w:val="000F672D"/>
    <w:rsid w:val="000F7F58"/>
    <w:rsid w:val="001049A9"/>
    <w:rsid w:val="00110B17"/>
    <w:rsid w:val="001215AF"/>
    <w:rsid w:val="00121BBF"/>
    <w:rsid w:val="00123785"/>
    <w:rsid w:val="00123B54"/>
    <w:rsid w:val="00133536"/>
    <w:rsid w:val="001339BD"/>
    <w:rsid w:val="00135C86"/>
    <w:rsid w:val="001403B5"/>
    <w:rsid w:val="00143A26"/>
    <w:rsid w:val="00143FCD"/>
    <w:rsid w:val="0014447E"/>
    <w:rsid w:val="00145CD9"/>
    <w:rsid w:val="0014734B"/>
    <w:rsid w:val="001475F3"/>
    <w:rsid w:val="0015224F"/>
    <w:rsid w:val="00152447"/>
    <w:rsid w:val="001567F4"/>
    <w:rsid w:val="00170B82"/>
    <w:rsid w:val="001727C4"/>
    <w:rsid w:val="00173BA9"/>
    <w:rsid w:val="001754DC"/>
    <w:rsid w:val="00186DF7"/>
    <w:rsid w:val="00197956"/>
    <w:rsid w:val="001A5125"/>
    <w:rsid w:val="001A7A34"/>
    <w:rsid w:val="001B1C3B"/>
    <w:rsid w:val="001B60A9"/>
    <w:rsid w:val="001B6CDF"/>
    <w:rsid w:val="001C343E"/>
    <w:rsid w:val="001C51DE"/>
    <w:rsid w:val="001C7F6C"/>
    <w:rsid w:val="001D3D96"/>
    <w:rsid w:val="001D70AF"/>
    <w:rsid w:val="001E23DA"/>
    <w:rsid w:val="001E7C57"/>
    <w:rsid w:val="001F05E7"/>
    <w:rsid w:val="001F6113"/>
    <w:rsid w:val="002038D3"/>
    <w:rsid w:val="00207134"/>
    <w:rsid w:val="00213358"/>
    <w:rsid w:val="0021379F"/>
    <w:rsid w:val="00213B7E"/>
    <w:rsid w:val="002316C0"/>
    <w:rsid w:val="002329CA"/>
    <w:rsid w:val="002331C3"/>
    <w:rsid w:val="00234277"/>
    <w:rsid w:val="00234AA2"/>
    <w:rsid w:val="00235F1E"/>
    <w:rsid w:val="00252293"/>
    <w:rsid w:val="00261611"/>
    <w:rsid w:val="00264724"/>
    <w:rsid w:val="00266A93"/>
    <w:rsid w:val="00276815"/>
    <w:rsid w:val="00280CA2"/>
    <w:rsid w:val="00285D9F"/>
    <w:rsid w:val="002B31C4"/>
    <w:rsid w:val="002C6500"/>
    <w:rsid w:val="002D04D7"/>
    <w:rsid w:val="002D4873"/>
    <w:rsid w:val="002D63B5"/>
    <w:rsid w:val="002E2CB3"/>
    <w:rsid w:val="002F2F40"/>
    <w:rsid w:val="00307639"/>
    <w:rsid w:val="00315999"/>
    <w:rsid w:val="0032060C"/>
    <w:rsid w:val="00323544"/>
    <w:rsid w:val="00336F6F"/>
    <w:rsid w:val="00341FA9"/>
    <w:rsid w:val="00346037"/>
    <w:rsid w:val="00347E56"/>
    <w:rsid w:val="00354332"/>
    <w:rsid w:val="003548E5"/>
    <w:rsid w:val="003632D3"/>
    <w:rsid w:val="00372593"/>
    <w:rsid w:val="003909EA"/>
    <w:rsid w:val="00395342"/>
    <w:rsid w:val="003B644B"/>
    <w:rsid w:val="003C0D39"/>
    <w:rsid w:val="003C21B5"/>
    <w:rsid w:val="003C26C7"/>
    <w:rsid w:val="003C2905"/>
    <w:rsid w:val="003C29D6"/>
    <w:rsid w:val="003C64FF"/>
    <w:rsid w:val="003C703A"/>
    <w:rsid w:val="003E3F92"/>
    <w:rsid w:val="003E672D"/>
    <w:rsid w:val="003F187B"/>
    <w:rsid w:val="003F2EF9"/>
    <w:rsid w:val="00402967"/>
    <w:rsid w:val="004060C7"/>
    <w:rsid w:val="00412CD4"/>
    <w:rsid w:val="00416CDF"/>
    <w:rsid w:val="00420D9C"/>
    <w:rsid w:val="004221A9"/>
    <w:rsid w:val="00423AFF"/>
    <w:rsid w:val="0042662B"/>
    <w:rsid w:val="004319A5"/>
    <w:rsid w:val="004344D2"/>
    <w:rsid w:val="00442E09"/>
    <w:rsid w:val="0044474F"/>
    <w:rsid w:val="00446403"/>
    <w:rsid w:val="00447119"/>
    <w:rsid w:val="00447FF7"/>
    <w:rsid w:val="00450518"/>
    <w:rsid w:val="004512EB"/>
    <w:rsid w:val="004533E9"/>
    <w:rsid w:val="004563C8"/>
    <w:rsid w:val="0046351F"/>
    <w:rsid w:val="00473D30"/>
    <w:rsid w:val="00474358"/>
    <w:rsid w:val="004824B7"/>
    <w:rsid w:val="00490EA8"/>
    <w:rsid w:val="0049193F"/>
    <w:rsid w:val="00492AE2"/>
    <w:rsid w:val="004A0187"/>
    <w:rsid w:val="004C50F8"/>
    <w:rsid w:val="004C5155"/>
    <w:rsid w:val="004C571F"/>
    <w:rsid w:val="004D128B"/>
    <w:rsid w:val="004D3A45"/>
    <w:rsid w:val="004E61DC"/>
    <w:rsid w:val="004E7185"/>
    <w:rsid w:val="004F5840"/>
    <w:rsid w:val="004F7635"/>
    <w:rsid w:val="00500455"/>
    <w:rsid w:val="00500EA7"/>
    <w:rsid w:val="00500F89"/>
    <w:rsid w:val="00507CC3"/>
    <w:rsid w:val="0051574A"/>
    <w:rsid w:val="005251E7"/>
    <w:rsid w:val="00533685"/>
    <w:rsid w:val="0053741F"/>
    <w:rsid w:val="00541F6E"/>
    <w:rsid w:val="00543457"/>
    <w:rsid w:val="00550F67"/>
    <w:rsid w:val="00560486"/>
    <w:rsid w:val="00566B8F"/>
    <w:rsid w:val="00584B3B"/>
    <w:rsid w:val="0058637F"/>
    <w:rsid w:val="005867FE"/>
    <w:rsid w:val="00590EAC"/>
    <w:rsid w:val="005A40C3"/>
    <w:rsid w:val="005A4FB4"/>
    <w:rsid w:val="005A7C4C"/>
    <w:rsid w:val="005B0D67"/>
    <w:rsid w:val="005B46FD"/>
    <w:rsid w:val="005B7586"/>
    <w:rsid w:val="005C2697"/>
    <w:rsid w:val="005D5548"/>
    <w:rsid w:val="005D7A7A"/>
    <w:rsid w:val="005E7EA0"/>
    <w:rsid w:val="005F0C71"/>
    <w:rsid w:val="005F4176"/>
    <w:rsid w:val="005F454C"/>
    <w:rsid w:val="005F6971"/>
    <w:rsid w:val="00603E85"/>
    <w:rsid w:val="00606E19"/>
    <w:rsid w:val="00607614"/>
    <w:rsid w:val="00617199"/>
    <w:rsid w:val="00623726"/>
    <w:rsid w:val="00634768"/>
    <w:rsid w:val="00653BA8"/>
    <w:rsid w:val="00665FA3"/>
    <w:rsid w:val="006678A7"/>
    <w:rsid w:val="00672AF3"/>
    <w:rsid w:val="00676EDE"/>
    <w:rsid w:val="00680494"/>
    <w:rsid w:val="00685306"/>
    <w:rsid w:val="006905AE"/>
    <w:rsid w:val="0069287A"/>
    <w:rsid w:val="00693640"/>
    <w:rsid w:val="00693CCE"/>
    <w:rsid w:val="00694C8D"/>
    <w:rsid w:val="006A1106"/>
    <w:rsid w:val="006A7C1C"/>
    <w:rsid w:val="006B16BA"/>
    <w:rsid w:val="006B16D3"/>
    <w:rsid w:val="006C372C"/>
    <w:rsid w:val="006D148F"/>
    <w:rsid w:val="006D22AE"/>
    <w:rsid w:val="006D3400"/>
    <w:rsid w:val="006E2BEF"/>
    <w:rsid w:val="006E67A4"/>
    <w:rsid w:val="006F56C2"/>
    <w:rsid w:val="006F5825"/>
    <w:rsid w:val="007039FF"/>
    <w:rsid w:val="007057D6"/>
    <w:rsid w:val="00713187"/>
    <w:rsid w:val="00720128"/>
    <w:rsid w:val="00720647"/>
    <w:rsid w:val="00720A83"/>
    <w:rsid w:val="00724682"/>
    <w:rsid w:val="00734B96"/>
    <w:rsid w:val="0073569A"/>
    <w:rsid w:val="00735E2E"/>
    <w:rsid w:val="00740AF1"/>
    <w:rsid w:val="00743F46"/>
    <w:rsid w:val="0074414C"/>
    <w:rsid w:val="00747499"/>
    <w:rsid w:val="007547AF"/>
    <w:rsid w:val="00755D64"/>
    <w:rsid w:val="007574F1"/>
    <w:rsid w:val="00761E6F"/>
    <w:rsid w:val="00774196"/>
    <w:rsid w:val="00774AC7"/>
    <w:rsid w:val="00776BEA"/>
    <w:rsid w:val="0077793A"/>
    <w:rsid w:val="00780F9C"/>
    <w:rsid w:val="00781134"/>
    <w:rsid w:val="00792AE3"/>
    <w:rsid w:val="007A7226"/>
    <w:rsid w:val="007B00E2"/>
    <w:rsid w:val="007B2736"/>
    <w:rsid w:val="007C11BB"/>
    <w:rsid w:val="007C4043"/>
    <w:rsid w:val="007C70B1"/>
    <w:rsid w:val="007C7FCA"/>
    <w:rsid w:val="007D0BEF"/>
    <w:rsid w:val="007D1C24"/>
    <w:rsid w:val="007D500E"/>
    <w:rsid w:val="007E320E"/>
    <w:rsid w:val="007E3377"/>
    <w:rsid w:val="007E6E86"/>
    <w:rsid w:val="007F1E22"/>
    <w:rsid w:val="00800071"/>
    <w:rsid w:val="00804E9F"/>
    <w:rsid w:val="00815625"/>
    <w:rsid w:val="00821424"/>
    <w:rsid w:val="00826A09"/>
    <w:rsid w:val="00833207"/>
    <w:rsid w:val="00833D54"/>
    <w:rsid w:val="0084453C"/>
    <w:rsid w:val="0085169F"/>
    <w:rsid w:val="00852478"/>
    <w:rsid w:val="00852CC5"/>
    <w:rsid w:val="00861125"/>
    <w:rsid w:val="0088028B"/>
    <w:rsid w:val="008928F7"/>
    <w:rsid w:val="008941A6"/>
    <w:rsid w:val="00897A27"/>
    <w:rsid w:val="008A4721"/>
    <w:rsid w:val="008B0588"/>
    <w:rsid w:val="008B42F8"/>
    <w:rsid w:val="008B4CCA"/>
    <w:rsid w:val="008C3CAB"/>
    <w:rsid w:val="008D2366"/>
    <w:rsid w:val="008D6636"/>
    <w:rsid w:val="008E151B"/>
    <w:rsid w:val="008E64B7"/>
    <w:rsid w:val="008F02FB"/>
    <w:rsid w:val="00906E74"/>
    <w:rsid w:val="00911578"/>
    <w:rsid w:val="0091403E"/>
    <w:rsid w:val="0091433A"/>
    <w:rsid w:val="00920A77"/>
    <w:rsid w:val="00921EFD"/>
    <w:rsid w:val="0092509D"/>
    <w:rsid w:val="0093339D"/>
    <w:rsid w:val="00942620"/>
    <w:rsid w:val="009427B1"/>
    <w:rsid w:val="0094717F"/>
    <w:rsid w:val="009501C1"/>
    <w:rsid w:val="009539D3"/>
    <w:rsid w:val="00955221"/>
    <w:rsid w:val="00963D79"/>
    <w:rsid w:val="00972911"/>
    <w:rsid w:val="00983A97"/>
    <w:rsid w:val="00993E06"/>
    <w:rsid w:val="00993F64"/>
    <w:rsid w:val="009943AB"/>
    <w:rsid w:val="009A03D9"/>
    <w:rsid w:val="009A139F"/>
    <w:rsid w:val="009A34BF"/>
    <w:rsid w:val="009A7658"/>
    <w:rsid w:val="009A7C3C"/>
    <w:rsid w:val="009B10F3"/>
    <w:rsid w:val="009B167A"/>
    <w:rsid w:val="009B3576"/>
    <w:rsid w:val="009B6B81"/>
    <w:rsid w:val="009C037F"/>
    <w:rsid w:val="009C227E"/>
    <w:rsid w:val="009C23F3"/>
    <w:rsid w:val="009C3BEC"/>
    <w:rsid w:val="009D07FB"/>
    <w:rsid w:val="009E2E19"/>
    <w:rsid w:val="009E41B8"/>
    <w:rsid w:val="009E7122"/>
    <w:rsid w:val="009F04B2"/>
    <w:rsid w:val="009F75EB"/>
    <w:rsid w:val="00A00513"/>
    <w:rsid w:val="00A010AE"/>
    <w:rsid w:val="00A11E34"/>
    <w:rsid w:val="00A15B67"/>
    <w:rsid w:val="00A2087F"/>
    <w:rsid w:val="00A237B1"/>
    <w:rsid w:val="00A27108"/>
    <w:rsid w:val="00A27C19"/>
    <w:rsid w:val="00A302E0"/>
    <w:rsid w:val="00A304D8"/>
    <w:rsid w:val="00A32DDF"/>
    <w:rsid w:val="00A401E4"/>
    <w:rsid w:val="00A41603"/>
    <w:rsid w:val="00A4330B"/>
    <w:rsid w:val="00A56E5C"/>
    <w:rsid w:val="00A601DC"/>
    <w:rsid w:val="00A6327D"/>
    <w:rsid w:val="00A633F0"/>
    <w:rsid w:val="00A678A0"/>
    <w:rsid w:val="00A72688"/>
    <w:rsid w:val="00A72AAC"/>
    <w:rsid w:val="00A83525"/>
    <w:rsid w:val="00A85EC3"/>
    <w:rsid w:val="00A96DB0"/>
    <w:rsid w:val="00AA6315"/>
    <w:rsid w:val="00AB051B"/>
    <w:rsid w:val="00AB17A7"/>
    <w:rsid w:val="00AB1F3B"/>
    <w:rsid w:val="00AB46F6"/>
    <w:rsid w:val="00AB58D9"/>
    <w:rsid w:val="00AB7314"/>
    <w:rsid w:val="00AC2870"/>
    <w:rsid w:val="00AC5BC6"/>
    <w:rsid w:val="00AD5D7D"/>
    <w:rsid w:val="00AD78B3"/>
    <w:rsid w:val="00AE01F7"/>
    <w:rsid w:val="00AE0E08"/>
    <w:rsid w:val="00AE2315"/>
    <w:rsid w:val="00AE5020"/>
    <w:rsid w:val="00B03722"/>
    <w:rsid w:val="00B03B47"/>
    <w:rsid w:val="00B0599C"/>
    <w:rsid w:val="00B1122C"/>
    <w:rsid w:val="00B21D39"/>
    <w:rsid w:val="00B3445E"/>
    <w:rsid w:val="00B3496F"/>
    <w:rsid w:val="00B364C8"/>
    <w:rsid w:val="00B478DC"/>
    <w:rsid w:val="00B6068A"/>
    <w:rsid w:val="00B65B03"/>
    <w:rsid w:val="00B66A0C"/>
    <w:rsid w:val="00B7248C"/>
    <w:rsid w:val="00B73F0E"/>
    <w:rsid w:val="00B77A85"/>
    <w:rsid w:val="00B8271E"/>
    <w:rsid w:val="00B87142"/>
    <w:rsid w:val="00B923A7"/>
    <w:rsid w:val="00B9545E"/>
    <w:rsid w:val="00B956A7"/>
    <w:rsid w:val="00B95C6E"/>
    <w:rsid w:val="00BA4E77"/>
    <w:rsid w:val="00BA6878"/>
    <w:rsid w:val="00BB7682"/>
    <w:rsid w:val="00BC2081"/>
    <w:rsid w:val="00BC310D"/>
    <w:rsid w:val="00BC33EE"/>
    <w:rsid w:val="00BC7926"/>
    <w:rsid w:val="00BD5338"/>
    <w:rsid w:val="00BE0CEE"/>
    <w:rsid w:val="00BE3AA9"/>
    <w:rsid w:val="00BF1115"/>
    <w:rsid w:val="00BF3247"/>
    <w:rsid w:val="00BF7A4C"/>
    <w:rsid w:val="00C04E22"/>
    <w:rsid w:val="00C1563D"/>
    <w:rsid w:val="00C1590B"/>
    <w:rsid w:val="00C20F5D"/>
    <w:rsid w:val="00C250AA"/>
    <w:rsid w:val="00C31763"/>
    <w:rsid w:val="00C32568"/>
    <w:rsid w:val="00C330D3"/>
    <w:rsid w:val="00C34AC5"/>
    <w:rsid w:val="00C35336"/>
    <w:rsid w:val="00C35934"/>
    <w:rsid w:val="00C36B70"/>
    <w:rsid w:val="00C43A57"/>
    <w:rsid w:val="00C4423C"/>
    <w:rsid w:val="00C50848"/>
    <w:rsid w:val="00C52A6F"/>
    <w:rsid w:val="00C5406E"/>
    <w:rsid w:val="00C579D6"/>
    <w:rsid w:val="00C60E74"/>
    <w:rsid w:val="00C645F1"/>
    <w:rsid w:val="00C679A5"/>
    <w:rsid w:val="00C749BF"/>
    <w:rsid w:val="00C74CD6"/>
    <w:rsid w:val="00C76C70"/>
    <w:rsid w:val="00C80723"/>
    <w:rsid w:val="00C8225C"/>
    <w:rsid w:val="00C84DB9"/>
    <w:rsid w:val="00C92C15"/>
    <w:rsid w:val="00CA7C01"/>
    <w:rsid w:val="00CA7E39"/>
    <w:rsid w:val="00CB0B6D"/>
    <w:rsid w:val="00CC6083"/>
    <w:rsid w:val="00CE30D7"/>
    <w:rsid w:val="00CE4688"/>
    <w:rsid w:val="00CF4BF7"/>
    <w:rsid w:val="00D10B8F"/>
    <w:rsid w:val="00D15478"/>
    <w:rsid w:val="00D15DED"/>
    <w:rsid w:val="00D17144"/>
    <w:rsid w:val="00D24227"/>
    <w:rsid w:val="00D256F4"/>
    <w:rsid w:val="00D34E60"/>
    <w:rsid w:val="00D46EBA"/>
    <w:rsid w:val="00D509A5"/>
    <w:rsid w:val="00D52266"/>
    <w:rsid w:val="00D66518"/>
    <w:rsid w:val="00D8066F"/>
    <w:rsid w:val="00D86FAD"/>
    <w:rsid w:val="00D90FDB"/>
    <w:rsid w:val="00D932FB"/>
    <w:rsid w:val="00D97D26"/>
    <w:rsid w:val="00DA7D1B"/>
    <w:rsid w:val="00DD1CF2"/>
    <w:rsid w:val="00DD5149"/>
    <w:rsid w:val="00DD6758"/>
    <w:rsid w:val="00DD67BC"/>
    <w:rsid w:val="00DE11BC"/>
    <w:rsid w:val="00DF3DCB"/>
    <w:rsid w:val="00E23DA1"/>
    <w:rsid w:val="00E3469C"/>
    <w:rsid w:val="00E40566"/>
    <w:rsid w:val="00E4083D"/>
    <w:rsid w:val="00E410BF"/>
    <w:rsid w:val="00E428FE"/>
    <w:rsid w:val="00E470E5"/>
    <w:rsid w:val="00E6701C"/>
    <w:rsid w:val="00E67470"/>
    <w:rsid w:val="00E75113"/>
    <w:rsid w:val="00E95222"/>
    <w:rsid w:val="00EA6328"/>
    <w:rsid w:val="00EA6523"/>
    <w:rsid w:val="00EB1322"/>
    <w:rsid w:val="00EB58DD"/>
    <w:rsid w:val="00EC165B"/>
    <w:rsid w:val="00EC1A8F"/>
    <w:rsid w:val="00EC69B5"/>
    <w:rsid w:val="00ED3069"/>
    <w:rsid w:val="00ED6DAB"/>
    <w:rsid w:val="00EF3540"/>
    <w:rsid w:val="00EF3F6A"/>
    <w:rsid w:val="00EF4918"/>
    <w:rsid w:val="00EF495F"/>
    <w:rsid w:val="00F03789"/>
    <w:rsid w:val="00F052FF"/>
    <w:rsid w:val="00F10115"/>
    <w:rsid w:val="00F11AB4"/>
    <w:rsid w:val="00F219DA"/>
    <w:rsid w:val="00F229A3"/>
    <w:rsid w:val="00F30A06"/>
    <w:rsid w:val="00F37F1B"/>
    <w:rsid w:val="00F42E5B"/>
    <w:rsid w:val="00F469A4"/>
    <w:rsid w:val="00F47C77"/>
    <w:rsid w:val="00F50C04"/>
    <w:rsid w:val="00F51D84"/>
    <w:rsid w:val="00F64499"/>
    <w:rsid w:val="00F65242"/>
    <w:rsid w:val="00F7138B"/>
    <w:rsid w:val="00F7726F"/>
    <w:rsid w:val="00F8038E"/>
    <w:rsid w:val="00F81491"/>
    <w:rsid w:val="00F93D24"/>
    <w:rsid w:val="00FB36FD"/>
    <w:rsid w:val="00FC0690"/>
    <w:rsid w:val="00FC1C66"/>
    <w:rsid w:val="00FC76DF"/>
    <w:rsid w:val="00FD318F"/>
    <w:rsid w:val="00FD3BA2"/>
    <w:rsid w:val="00FE1586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CE38-4512-40DD-8307-647A146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A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F582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paragraph" w:styleId="5">
    <w:name w:val="heading 5"/>
    <w:basedOn w:val="a"/>
    <w:next w:val="a"/>
    <w:link w:val="50"/>
    <w:qFormat/>
    <w:rsid w:val="006905AE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6905A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rsid w:val="006905A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6905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6905A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6905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05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905A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46403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semiHidden/>
    <w:rsid w:val="00446403"/>
    <w:rPr>
      <w:lang w:eastAsia="en-US"/>
    </w:rPr>
  </w:style>
  <w:style w:type="character" w:styleId="ab">
    <w:name w:val="footnote reference"/>
    <w:uiPriority w:val="99"/>
    <w:semiHidden/>
    <w:unhideWhenUsed/>
    <w:rsid w:val="00446403"/>
    <w:rPr>
      <w:vertAlign w:val="superscript"/>
    </w:rPr>
  </w:style>
  <w:style w:type="character" w:styleId="ac">
    <w:name w:val="FollowedHyperlink"/>
    <w:uiPriority w:val="99"/>
    <w:semiHidden/>
    <w:unhideWhenUsed/>
    <w:rsid w:val="002316C0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6F582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6F5825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table0020gridchar">
    <w:name w:val="table_0020grid__char"/>
    <w:rsid w:val="006F5825"/>
  </w:style>
  <w:style w:type="paragraph" w:customStyle="1" w:styleId="table0020grid">
    <w:name w:val="table_0020grid"/>
    <w:basedOn w:val="a"/>
    <w:rsid w:val="006F582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F58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F58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5825"/>
    <w:rPr>
      <w:rFonts w:ascii="Arial" w:eastAsia="Times New Roman" w:hAnsi="Arial" w:cs="Arial"/>
    </w:rPr>
  </w:style>
  <w:style w:type="paragraph" w:customStyle="1" w:styleId="ae">
    <w:name w:val="_НИР_Табл"/>
    <w:basedOn w:val="a"/>
    <w:link w:val="af"/>
    <w:rsid w:val="006F5825"/>
    <w:pPr>
      <w:autoSpaceDE w:val="0"/>
      <w:autoSpaceDN w:val="0"/>
      <w:adjustRightInd w:val="0"/>
    </w:pPr>
  </w:style>
  <w:style w:type="character" w:customStyle="1" w:styleId="af">
    <w:name w:val="_НИР_Табл Знак"/>
    <w:link w:val="ae"/>
    <w:rsid w:val="006F5825"/>
    <w:rPr>
      <w:rFonts w:ascii="Times New Roman" w:eastAsia="Times New Roman" w:hAnsi="Times New Roman"/>
      <w:sz w:val="28"/>
      <w:szCs w:val="28"/>
    </w:rPr>
  </w:style>
  <w:style w:type="paragraph" w:styleId="af0">
    <w:name w:val="header"/>
    <w:basedOn w:val="a"/>
    <w:link w:val="af1"/>
    <w:uiPriority w:val="99"/>
    <w:unhideWhenUsed/>
    <w:rsid w:val="006F582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F5825"/>
    <w:rPr>
      <w:rFonts w:ascii="Times New Roman" w:eastAsia="Times New Roman" w:hAnsi="Times New Roman"/>
      <w:sz w:val="28"/>
      <w:szCs w:val="28"/>
    </w:rPr>
  </w:style>
  <w:style w:type="paragraph" w:styleId="af2">
    <w:name w:val="Body Text"/>
    <w:basedOn w:val="a"/>
    <w:link w:val="af3"/>
    <w:rsid w:val="00BF1115"/>
    <w:pPr>
      <w:keepNext/>
      <w:widowControl w:val="0"/>
      <w:spacing w:before="120" w:after="120"/>
      <w:ind w:firstLine="567"/>
      <w:jc w:val="both"/>
    </w:pPr>
    <w:rPr>
      <w:rFonts w:ascii="TIMESDL" w:hAnsi="TIMESDL"/>
      <w:sz w:val="26"/>
      <w:szCs w:val="20"/>
    </w:rPr>
  </w:style>
  <w:style w:type="character" w:customStyle="1" w:styleId="af3">
    <w:name w:val="Основной текст Знак"/>
    <w:link w:val="af2"/>
    <w:rsid w:val="00BF1115"/>
    <w:rPr>
      <w:rFonts w:ascii="TIMESDL" w:eastAsia="Times New Roman" w:hAnsi="TIMESDL"/>
      <w:sz w:val="26"/>
    </w:rPr>
  </w:style>
  <w:style w:type="paragraph" w:styleId="af4">
    <w:name w:val="Title"/>
    <w:basedOn w:val="a"/>
    <w:link w:val="af5"/>
    <w:qFormat/>
    <w:rsid w:val="00BF1115"/>
    <w:pPr>
      <w:jc w:val="center"/>
    </w:pPr>
    <w:rPr>
      <w:b/>
      <w:szCs w:val="24"/>
    </w:rPr>
  </w:style>
  <w:style w:type="character" w:customStyle="1" w:styleId="af5">
    <w:name w:val="Название Знак"/>
    <w:link w:val="af4"/>
    <w:rsid w:val="00BF1115"/>
    <w:rPr>
      <w:rFonts w:ascii="Times New Roman" w:eastAsia="Times New Roman" w:hAnsi="Times New Roman"/>
      <w:b/>
      <w:sz w:val="28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B77A85"/>
    <w:rPr>
      <w:rFonts w:ascii="Calibri" w:eastAsia="Calibri" w:hAnsi="Calibri"/>
      <w:sz w:val="22"/>
      <w:szCs w:val="21"/>
      <w:lang w:eastAsia="en-US"/>
    </w:rPr>
  </w:style>
  <w:style w:type="character" w:customStyle="1" w:styleId="af7">
    <w:name w:val="Текст Знак"/>
    <w:link w:val="af6"/>
    <w:uiPriority w:val="99"/>
    <w:semiHidden/>
    <w:rsid w:val="00B77A85"/>
    <w:rPr>
      <w:sz w:val="22"/>
      <w:szCs w:val="21"/>
      <w:lang w:eastAsia="en-US"/>
    </w:rPr>
  </w:style>
  <w:style w:type="character" w:customStyle="1" w:styleId="fontstyle01">
    <w:name w:val="fontstyle01"/>
    <w:basedOn w:val="a0"/>
    <w:rsid w:val="00B923A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customStyle="1" w:styleId="11">
    <w:name w:val="Сетка таблицы1"/>
    <w:basedOn w:val="a1"/>
    <w:next w:val="a6"/>
    <w:uiPriority w:val="59"/>
    <w:rsid w:val="00B92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link w:val="51"/>
    <w:rsid w:val="00123785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f8"/>
    <w:rsid w:val="00123785"/>
    <w:pPr>
      <w:shd w:val="clear" w:color="auto" w:fill="FFFFFF"/>
      <w:spacing w:line="0" w:lineRule="atLeast"/>
      <w:ind w:hanging="380"/>
      <w:jc w:val="right"/>
    </w:pPr>
    <w:rPr>
      <w:sz w:val="27"/>
      <w:szCs w:val="27"/>
    </w:rPr>
  </w:style>
  <w:style w:type="character" w:customStyle="1" w:styleId="3">
    <w:name w:val="Основной текст (3)_"/>
    <w:link w:val="30"/>
    <w:rsid w:val="00123785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3785"/>
    <w:pPr>
      <w:shd w:val="clear" w:color="auto" w:fill="FFFFFF"/>
      <w:spacing w:before="720" w:after="300" w:line="405" w:lineRule="exact"/>
      <w:ind w:hanging="380"/>
      <w:jc w:val="center"/>
    </w:pPr>
    <w:rPr>
      <w:sz w:val="31"/>
      <w:szCs w:val="31"/>
    </w:rPr>
  </w:style>
  <w:style w:type="table" w:customStyle="1" w:styleId="4">
    <w:name w:val="Сетка таблицы4"/>
    <w:basedOn w:val="a1"/>
    <w:next w:val="a6"/>
    <w:uiPriority w:val="59"/>
    <w:rsid w:val="00C20F5D"/>
    <w:rPr>
      <w:rFonts w:asciiTheme="minorHAnsi" w:eastAsia="Times New Roman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AppData\Microsoft\&#1064;&#1072;&#1073;&#1083;&#1086;&#1085;&#1099;\&#1048;&#1085;&#1089;&#1087;&#1077;&#1082;&#1094;&#1080;&#1103;%20&#1075;&#1086;&#1089;&#1091;&#1076;&#1072;&#1088;&#1089;&#1090;&#1074;&#1077;&#1085;&#1085;&#1086;&#1075;&#1086;%20&#1089;&#1090;&#1088;&#1086;&#1080;&#1090;&#1077;&#1083;&#1100;&#1085;&#1086;&#1075;&#1086;%20&#1085;&#1072;&#1076;&#1079;&#1086;&#1088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204D-FC32-4B5C-BA81-3924D7AC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Инспекция государственного строительного надзора Камчатского края.dotx</Template>
  <TotalTime>2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mailto:Agais@kamgov.ru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Мария Валерьевна</dc:creator>
  <cp:lastModifiedBy>Чудинова Ирина Борисовна Чудинова</cp:lastModifiedBy>
  <cp:revision>3</cp:revision>
  <cp:lastPrinted>2022-01-27T02:05:00Z</cp:lastPrinted>
  <dcterms:created xsi:type="dcterms:W3CDTF">2022-01-27T02:30:00Z</dcterms:created>
  <dcterms:modified xsi:type="dcterms:W3CDTF">2022-01-27T02:32:00Z</dcterms:modified>
</cp:coreProperties>
</file>