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</w:pPr>
      <w:r>
        <w:rPr>
          <w:lang w:eastAsia="ru-RU"/>
        </w:rPr>
        <w:drawing>
          <wp:inline distT="0" distB="0" distL="0" distR="0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ИНСПЕКЦИЯ ГОСУДАРСТВЕННОГО СТРОИТЕЛЬНОГО НАДЗОРА КАМЧАТСКОГО КРАЯ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>
            <w:pPr>
              <w:pStyle w:val="36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ПРИКАЗ № </w:t>
            </w: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  <w14:textFill>
                  <w14:solidFill>
                    <w14:schemeClr w14:val="bg2"/>
                  </w14:solidFill>
                </w14:textFill>
              </w:rPr>
              <w:t>Номер документа</w:t>
            </w: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]</w:t>
            </w:r>
          </w:p>
          <w:p>
            <w:pPr>
              <w:pStyle w:val="37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8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7"/>
        <w:gridCol w:w="4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7" w:type="dxa"/>
          </w:tcPr>
          <w:p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630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  <w14:textFill>
                  <w14:solidFill>
                    <w14:schemeClr w14:val="bg2"/>
                  </w14:solidFill>
                </w14:textFill>
              </w:rPr>
              <w:t>Дата регистрации</w:t>
            </w: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]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осуществления регионального государственного строительного надзора Инспекцией государственного строительного надзора Камчатского края на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>
      <w:pPr>
        <w:pStyle w:val="2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осуществления регионального государственного строительного надзора Инспекцией государственного строительного надзора Камчатского края на 202</w:t>
      </w:r>
      <w:r>
        <w:rPr>
          <w:rFonts w:hint="default" w:ascii="Times New Roman" w:hAnsi="Times New Roman" w:eastAsiaTheme="minorHAnsi"/>
          <w:sz w:val="28"/>
          <w:szCs w:val="28"/>
          <w:lang w:val="ru-RU"/>
        </w:rPr>
        <w:t>4</w:t>
      </w:r>
      <w:r>
        <w:rPr>
          <w:rFonts w:ascii="Times New Roman" w:hAnsi="Times New Roman" w:eastAsiaTheme="minorHAnsi"/>
          <w:sz w:val="28"/>
          <w:szCs w:val="28"/>
        </w:rPr>
        <w:t xml:space="preserve"> год (далее – Программа), согласно приложению к настоящему приказу.</w:t>
      </w:r>
    </w:p>
    <w:p>
      <w:pPr>
        <w:pStyle w:val="2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Лицам, ответственным за реализацию мероприятий Программы, указанным в приложении к настоящему приказу, обеспечить их выполнение в установленные сроки.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22"/>
        <w:tblW w:w="10659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1"/>
        <w:gridCol w:w="2436"/>
        <w:gridCol w:w="3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72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Врио руководителя Инспекции – главного государственного инспектора государственного строительного надзора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24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50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Осипова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7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>
      <w:pPr>
        <w:pStyle w:val="37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Приложение к приказу </w:t>
      </w:r>
    </w:p>
    <w:p>
      <w:pPr>
        <w:pStyle w:val="37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Инспекции государственного строительного </w:t>
      </w:r>
    </w:p>
    <w:p>
      <w:pPr>
        <w:pStyle w:val="37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надзора Камчатского края  </w:t>
      </w:r>
    </w:p>
    <w:p>
      <w:pPr>
        <w:pStyle w:val="3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[Дата регистрации]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A6A6A6" w:themeColor="background1" w:themeShade="A6"/>
          <w:sz w:val="24"/>
          <w:szCs w:val="24"/>
        </w:rPr>
        <w:t>[Номер документа]</w:t>
      </w:r>
    </w:p>
    <w:p>
      <w:pPr>
        <w:pStyle w:val="3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5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2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Программа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осуществления регионального государственного строительного надзора Инспекцией государственного строительного надзора Камчатского края на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 </w:t>
      </w:r>
    </w:p>
    <w:p>
      <w:pPr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Style w:val="27"/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Основания для разработки программы</w:t>
      </w:r>
    </w:p>
    <w:p>
      <w:pPr>
        <w:pStyle w:val="27"/>
        <w:ind w:left="1418"/>
        <w:jc w:val="both"/>
        <w:rPr>
          <w:rFonts w:ascii="Times New Roman" w:hAnsi="Times New Roman"/>
          <w:b/>
          <w:sz w:val="28"/>
          <w:szCs w:val="28"/>
        </w:rPr>
      </w:pP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в сфере регионального государственного строительного надзора Инспекцией государственного строительного надзора Камчатского края (далее – Инспекция)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(далее - Программа), разработана в соответствии: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ст. 44 Федерального закона от 31.07.2020 № 248-ФЗ «О государственном контроле (надзоре) и муниципальном контроле в Российской Федерации» (далее – Закон № 248-ФЗ); </w:t>
      </w:r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27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>
      <w:pPr>
        <w:pStyle w:val="27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текущего состояния регионального государственного строительного надзора на территории Камчатского края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В соответствии п. 2.1 ч. 2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Положени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я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об Инспекции государственного строительного надзора Камчатского кра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я, утвержденного по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становление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м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Правительства Камчатского края от 04.04.2023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193-П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,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Инспекци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я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государственного строительного надзора Камчатского кра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я (далее по тексту - Инспекция)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является исполнительным органом Камчатского края уполномоченным в сфер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е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регионального государственного строительного надзора на территории Камчатского края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.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cs="Times New Roman" w:eastAsiaTheme="minorHAnsi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При осуществлении регионального государственного строительного надзора в Камчатском крае применяются положения: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Федеральн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ого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закон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а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от 31.07.2020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248-ФЗ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«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» (далее -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Федеральн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ый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закон от 31.07.2020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248-ФЗ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), О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бщи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е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требовани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я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к организации и осуществлению регионального государственного строительного надзора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, утвержденные п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остановление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м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Правительства РФ от 01.12.2021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2161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,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Положени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е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о региональном государственном строительном надзоре в Камчатском крае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, утвержденное п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остановление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м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Правительства Камчатского края от 01.02.2022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46-П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 (далее - Положение).</w:t>
      </w:r>
    </w:p>
    <w:p>
      <w:pPr>
        <w:pStyle w:val="47"/>
        <w:ind w:firstLine="580"/>
        <w:jc w:val="both"/>
      </w:pPr>
      <w:r>
        <w:rPr>
          <w:rFonts w:cs="Times New Roman"/>
          <w:sz w:val="28"/>
          <w:szCs w:val="28"/>
          <w:lang w:val="ru-RU"/>
        </w:rPr>
        <w:t>Частями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2,3 Положения</w:t>
      </w:r>
      <w:r>
        <w:rPr>
          <w:rFonts w:hint="default" w:cs="Times New Roman"/>
          <w:sz w:val="28"/>
          <w:szCs w:val="28"/>
          <w:lang w:val="ru-RU"/>
        </w:rPr>
        <w:t xml:space="preserve"> предусмотрено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cs="Times New Roman"/>
          <w:sz w:val="28"/>
          <w:szCs w:val="28"/>
          <w:lang w:val="ru-RU"/>
        </w:rPr>
        <w:t>что п</w:t>
      </w:r>
      <w:r>
        <w:t>редмет регионального государственного строительного надзора зависит от вида строящегося, реконструируемого объекта капитального строительства. Региональный государственный строительный надзор осуществляется:</w:t>
      </w:r>
    </w:p>
    <w:p>
      <w:pPr>
        <w:pStyle w:val="47"/>
        <w:numPr>
          <w:ilvl w:val="0"/>
          <w:numId w:val="3"/>
        </w:numPr>
        <w:tabs>
          <w:tab w:val="left" w:pos="979"/>
        </w:tabs>
        <w:ind w:firstLine="580"/>
        <w:jc w:val="both"/>
      </w:pPr>
      <w:r>
        <w:t>при строительстве объектов капитального строительства, проектная документация которых подлежит экспертизе в соответствии со статьей 49 Градостроительного кодекса Российской Федерации, за исключением случая, предусмотренного частью 3</w:t>
      </w:r>
      <w:r>
        <w:rPr>
          <w:vertAlign w:val="superscript"/>
        </w:rPr>
        <w:t>3</w:t>
      </w:r>
      <w:r>
        <w:t xml:space="preserve"> статьи 49 Градостроительного кодекса Российской Федерации;</w:t>
      </w:r>
    </w:p>
    <w:p>
      <w:pPr>
        <w:pStyle w:val="47"/>
        <w:numPr>
          <w:ilvl w:val="0"/>
          <w:numId w:val="3"/>
        </w:numPr>
        <w:tabs>
          <w:tab w:val="left" w:pos="979"/>
        </w:tabs>
        <w:ind w:firstLine="580"/>
        <w:jc w:val="both"/>
      </w:pPr>
      <w:r>
        <w:t>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Градостроительного кодекса Российской Федерации, за исключением случая, предусмотренного частью 3</w:t>
      </w:r>
      <w:r>
        <w:rPr>
          <w:vertAlign w:val="superscript"/>
        </w:rPr>
        <w:t>3</w:t>
      </w:r>
      <w:r>
        <w:t xml:space="preserve"> статьи 49 Градостроительного кодекса Российской Федерации;</w:t>
      </w:r>
    </w:p>
    <w:p>
      <w:pPr>
        <w:pStyle w:val="47"/>
        <w:numPr>
          <w:ilvl w:val="0"/>
          <w:numId w:val="3"/>
        </w:numPr>
        <w:tabs>
          <w:tab w:val="left" w:pos="979"/>
        </w:tabs>
        <w:ind w:firstLine="580"/>
        <w:jc w:val="both"/>
      </w:pPr>
      <w:r>
        <w:t>в отношении объектов капитального строительства, не указанных в пунктах 1 и 2 части 2 настоящего Положения, при наличии оснований, предусмотренных пунктами 1, 3-5 части 1 статьи 57 Федерального закона от 31.07.2020 № 248-ФЗ.</w:t>
      </w:r>
    </w:p>
    <w:p>
      <w:pPr>
        <w:pStyle w:val="47"/>
        <w:numPr>
          <w:ilvl w:val="0"/>
          <w:numId w:val="0"/>
        </w:numPr>
        <w:tabs>
          <w:tab w:val="left" w:pos="979"/>
        </w:tabs>
        <w:jc w:val="both"/>
      </w:pPr>
      <w:r>
        <w:rPr>
          <w:rFonts w:hint="default"/>
          <w:lang w:val="ru-RU"/>
        </w:rPr>
        <w:tab/>
      </w:r>
      <w:r>
        <w:t>Предметом регионального государственного строительного надзора в отношении объектов капитального строительства, указанных в пунктах 1 и 2 части 2 Положения, является соблюдение:</w:t>
      </w:r>
    </w:p>
    <w:p>
      <w:pPr>
        <w:pStyle w:val="47"/>
        <w:numPr>
          <w:ilvl w:val="0"/>
          <w:numId w:val="4"/>
        </w:numPr>
        <w:tabs>
          <w:tab w:val="left" w:pos="979"/>
        </w:tabs>
        <w:ind w:firstLine="580"/>
        <w:jc w:val="both"/>
      </w:pPr>
      <w:r>
        <w:t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 частями 15, 15</w:t>
      </w:r>
      <w:r>
        <w:rPr>
          <w:vertAlign w:val="superscript"/>
        </w:rPr>
        <w:t>2</w:t>
      </w:r>
      <w:r>
        <w:t xml:space="preserve"> и 15</w:t>
      </w:r>
      <w:r>
        <w:rPr>
          <w:vertAlign w:val="superscript"/>
        </w:rPr>
        <w:t>3</w:t>
      </w:r>
      <w:r>
        <w:t xml:space="preserve"> статьи 48 Градостроительного кодекса Российской Федерации проектной документации (в том числе с учетом изменений, внесенных в рабочую документацию и являющихся в соответствии с частью 1</w:t>
      </w:r>
      <w:r>
        <w:rPr>
          <w:vertAlign w:val="superscript"/>
        </w:rPr>
        <w:t>3</w:t>
      </w:r>
      <w:r>
        <w:t xml:space="preserve"> статьи 52 Градостроительного кодекса Российской Федерации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Федерации);</w:t>
      </w:r>
    </w:p>
    <w:p>
      <w:pPr>
        <w:pStyle w:val="47"/>
        <w:numPr>
          <w:ilvl w:val="0"/>
          <w:numId w:val="4"/>
        </w:numPr>
        <w:ind w:left="0" w:leftChars="0" w:firstLine="580" w:firstLineChars="0"/>
        <w:jc w:val="both"/>
      </w:pPr>
      <w:r>
        <w:t>требования наличия разрешения на строительство;</w:t>
      </w:r>
    </w:p>
    <w:p>
      <w:pPr>
        <w:pStyle w:val="47"/>
        <w:numPr>
          <w:ilvl w:val="0"/>
          <w:numId w:val="4"/>
        </w:numPr>
        <w:tabs>
          <w:tab w:val="left" w:pos="954"/>
        </w:tabs>
        <w:ind w:firstLine="580"/>
        <w:jc w:val="both"/>
      </w:pPr>
      <w:r>
        <w:t>требований, установленных частями 2 и 3</w:t>
      </w:r>
      <w:r>
        <w:rPr>
          <w:vertAlign w:val="superscript"/>
        </w:rPr>
        <w:t>1</w:t>
      </w:r>
      <w:r>
        <w:t xml:space="preserve"> статьи 52 Градостроительного кодекса Российской Федерации;</w:t>
      </w:r>
    </w:p>
    <w:p>
      <w:pPr>
        <w:pStyle w:val="47"/>
        <w:numPr>
          <w:ilvl w:val="0"/>
          <w:numId w:val="4"/>
        </w:numPr>
        <w:tabs>
          <w:tab w:val="left" w:pos="954"/>
        </w:tabs>
        <w:ind w:firstLine="580"/>
        <w:jc w:val="both"/>
      </w:pPr>
      <w:r>
        <w:t>требований, установленных частью 4 статьи 52 Градостроительного кодекса Российской Федерации, к обеспечению консервации объекта капитального строительства;</w:t>
      </w:r>
    </w:p>
    <w:p>
      <w:pPr>
        <w:pStyle w:val="47"/>
        <w:numPr>
          <w:ilvl w:val="0"/>
          <w:numId w:val="4"/>
        </w:numPr>
        <w:tabs>
          <w:tab w:val="left" w:pos="956"/>
        </w:tabs>
        <w:ind w:firstLine="580"/>
        <w:jc w:val="both"/>
      </w:pPr>
      <w:r>
        <w:t>требований к порядку осуществления строительного контроля, установленных Градостроительным кодексом Российской Федерации, иными нормативными правовыми актами.</w:t>
      </w:r>
    </w:p>
    <w:p>
      <w:pPr>
        <w:pStyle w:val="47"/>
        <w:numPr>
          <w:ilvl w:val="0"/>
          <w:numId w:val="0"/>
        </w:numPr>
        <w:tabs>
          <w:tab w:val="left" w:pos="954"/>
        </w:tabs>
        <w:jc w:val="both"/>
      </w:pPr>
      <w:r>
        <w:rPr>
          <w:rFonts w:hint="default"/>
          <w:lang w:val="ru-RU"/>
        </w:rPr>
        <w:tab/>
      </w:r>
      <w:r>
        <w:t>Предметом регионального государственного строительного надзора в отношении объектов капитального строительства, указанных в пункте 3 части 2 Положения, является соблюдение:</w:t>
      </w:r>
    </w:p>
    <w:p>
      <w:pPr>
        <w:pStyle w:val="47"/>
        <w:numPr>
          <w:ilvl w:val="0"/>
          <w:numId w:val="5"/>
        </w:numPr>
        <w:tabs>
          <w:tab w:val="left" w:pos="954"/>
        </w:tabs>
        <w:ind w:firstLine="580"/>
        <w:jc w:val="both"/>
      </w:pPr>
      <w:r>
        <w:t>требований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>
      <w:pPr>
        <w:pStyle w:val="47"/>
        <w:numPr>
          <w:ilvl w:val="0"/>
          <w:numId w:val="5"/>
        </w:numPr>
        <w:tabs>
          <w:tab w:val="left" w:pos="956"/>
        </w:tabs>
        <w:ind w:firstLine="580"/>
        <w:jc w:val="both"/>
      </w:pPr>
      <w:r>
        <w:t>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</w:p>
    <w:p>
      <w:pPr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Согласно частям 9, 10 Положения,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ъектами регионального государственного строительного надзора (далее - объекты контроля) являются:</w:t>
      </w:r>
    </w:p>
    <w:p>
      <w:pPr>
        <w:pStyle w:val="47"/>
        <w:numPr>
          <w:ilvl w:val="0"/>
          <w:numId w:val="6"/>
        </w:numPr>
        <w:tabs>
          <w:tab w:val="left" w:pos="952"/>
        </w:tabs>
        <w:ind w:firstLine="56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контролируемое лицо), по строительству, реконструкции объектов капитального строительства, указанных в части 11 статьи 54 Градостроительного кодекса Российской Федерации, в случаях, указанных в части 2 Положения;</w:t>
      </w:r>
    </w:p>
    <w:p>
      <w:pPr>
        <w:pStyle w:val="47"/>
        <w:numPr>
          <w:ilvl w:val="0"/>
          <w:numId w:val="6"/>
        </w:numPr>
        <w:tabs>
          <w:tab w:val="left" w:pos="952"/>
        </w:tabs>
        <w:ind w:firstLine="560"/>
        <w:jc w:val="both"/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объекты</w:t>
      </w:r>
      <w:r>
        <w:t xml:space="preserve"> капитального строительства, которыми граждане и организации владеют и (или) пользуются и которые указаны в части 11 статьи 54 Градостроительного кодекса Российской Федерации, в случаях, указанных в части 2 Положения.</w:t>
      </w:r>
    </w:p>
    <w:p>
      <w:pPr>
        <w:pStyle w:val="47"/>
        <w:numPr>
          <w:ilvl w:val="0"/>
          <w:numId w:val="0"/>
        </w:numPr>
        <w:tabs>
          <w:tab w:val="left" w:pos="1041"/>
        </w:tabs>
        <w:spacing w:after="280"/>
        <w:jc w:val="both"/>
      </w:pPr>
      <w:r>
        <w:rPr>
          <w:rFonts w:hint="default"/>
          <w:lang w:val="ru-RU"/>
        </w:rPr>
        <w:tab/>
      </w:r>
      <w:r>
        <w:t xml:space="preserve">Учет объектов контроля осуществляется Инспекцией в форме реестра объектов капитального строительства, указанных в пунктах 1 и 2 части 2 Положения. </w:t>
      </w:r>
    </w:p>
    <w:p>
      <w:pPr>
        <w:spacing w:line="240" w:lineRule="auto"/>
        <w:ind w:firstLine="851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состоянию на 01.11.2024 г. в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реестр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объектов капитального строительства, указанных в части 1 статьи 54 Градостроительного кодекса Российской Федерации, в отношении которых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Инспекцией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осуществля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ется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региональный государственный строительный надзор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в Камчатском крае, </w:t>
      </w:r>
      <w:r>
        <w:rPr>
          <w:rFonts w:hint="default" w:ascii="Times New Roman" w:hAnsi="Times New Roman" w:eastAsia="Times New Roman" w:cs="Times New Roman"/>
          <w:color w:val="0000FF"/>
          <w:sz w:val="28"/>
          <w:szCs w:val="28"/>
          <w:lang w:val="ru-RU" w:eastAsia="zh-CN" w:bidi="ar-SA"/>
        </w:rPr>
        <w:t>состоит ____ объектов капитального строительства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, из них:</w:t>
      </w:r>
    </w:p>
    <w:p>
      <w:pPr>
        <w:spacing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0000FF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0000FF"/>
          <w:sz w:val="28"/>
          <w:szCs w:val="28"/>
          <w:lang w:val="ru-RU" w:eastAsia="zh-CN" w:bidi="ar-SA"/>
        </w:rPr>
        <w:t xml:space="preserve">- высокого риска - </w:t>
      </w:r>
    </w:p>
    <w:p>
      <w:pPr>
        <w:spacing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0000FF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0000FF"/>
          <w:sz w:val="28"/>
          <w:szCs w:val="28"/>
          <w:lang w:val="ru-RU" w:eastAsia="zh-CN" w:bidi="ar-SA"/>
        </w:rPr>
        <w:t xml:space="preserve">- значительного риска - </w:t>
      </w:r>
    </w:p>
    <w:p>
      <w:pPr>
        <w:spacing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0000FF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0000FF"/>
          <w:sz w:val="28"/>
          <w:szCs w:val="28"/>
          <w:lang w:val="ru-RU" w:eastAsia="zh-CN" w:bidi="ar-SA"/>
        </w:rPr>
        <w:t>- умеренного риска -</w:t>
      </w:r>
    </w:p>
    <w:p>
      <w:pPr>
        <w:spacing w:line="240" w:lineRule="auto"/>
        <w:ind w:firstLine="851"/>
        <w:jc w:val="both"/>
        <w:rPr>
          <w:rFonts w:hint="default" w:ascii="Times New Roman" w:hAnsi="Times New Roman" w:eastAsia="Times New Roman" w:cs="Times New Roman"/>
          <w:color w:val="0000FF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0000FF"/>
          <w:sz w:val="28"/>
          <w:szCs w:val="28"/>
          <w:lang w:val="ru-RU" w:eastAsia="zh-CN" w:bidi="ar-SA"/>
        </w:rPr>
        <w:t xml:space="preserve">- низкого риска - 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надзорной деятельности по состоянию на 01.11.202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Инспекцией достигнуты </w:t>
      </w:r>
      <w:r>
        <w:rPr>
          <w:rFonts w:ascii="Times New Roman" w:hAnsi="Times New Roman" w:cs="Times New Roman"/>
          <w:sz w:val="28"/>
          <w:szCs w:val="28"/>
        </w:rPr>
        <w:t>следующие основные количественные показатели: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общее количество проведенных проверок – 156, из них документарные – 42, выездные – 114;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количество выданных предписаний – 17;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количество выявленных нарушений – 193;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количество устраненных нарушений – 174;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количество выданных заключений о соответствии построенного объекта капитального строительства требованиям проектной документации – 8;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количество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отказов</w:t>
      </w:r>
      <w:r>
        <w:rPr>
          <w:rFonts w:hint="default" w:ascii="Times New Roman" w:hAnsi="Times New Roman" w:cs="Times New Roman"/>
          <w:color w:val="0000FF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color w:val="0000FF"/>
          <w:sz w:val="28"/>
          <w:szCs w:val="28"/>
        </w:rPr>
        <w:t>выда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че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заключений о соответствии построенного объекта капитального строительства требованиям проектной документации – 8;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количество выявленных административных правонарушений – 27;</w:t>
      </w:r>
    </w:p>
    <w:p>
      <w:pPr>
        <w:spacing w:line="240" w:lineRule="auto"/>
        <w:ind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- общее количество назначенных административных наказаний – 23, из них – в виде предупреждения – 7, в виде штрафа – 16.</w:t>
      </w:r>
    </w:p>
    <w:p>
      <w:pPr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</w:p>
    <w:p>
      <w:pPr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текущего уровня развития профилактической деятельности Инспекции</w:t>
      </w:r>
    </w:p>
    <w:p>
      <w:pPr>
        <w:pStyle w:val="47"/>
        <w:ind w:firstLine="58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ч. 15 Положения </w:t>
      </w:r>
      <w:r>
        <w:rPr>
          <w:rFonts w:hint="default" w:cs="Times New Roman"/>
          <w:sz w:val="28"/>
          <w:szCs w:val="28"/>
          <w:lang w:val="ru-RU"/>
        </w:rPr>
        <w:t>д</w:t>
      </w:r>
      <w:r>
        <w:t>олжностными лицами Инспекции, уполномоченными на осуществление регионального государственного строительного надзора могут проводиться следующие профилактические мероприятия:</w:t>
      </w:r>
    </w:p>
    <w:p>
      <w:pPr>
        <w:pStyle w:val="47"/>
        <w:numPr>
          <w:ilvl w:val="0"/>
          <w:numId w:val="7"/>
        </w:numPr>
        <w:tabs>
          <w:tab w:val="left" w:pos="972"/>
        </w:tabs>
        <w:ind w:firstLine="580"/>
        <w:jc w:val="both"/>
      </w:pPr>
      <w:r>
        <w:t>информирование;</w:t>
      </w:r>
    </w:p>
    <w:p>
      <w:pPr>
        <w:pStyle w:val="47"/>
        <w:numPr>
          <w:ilvl w:val="0"/>
          <w:numId w:val="7"/>
        </w:numPr>
        <w:tabs>
          <w:tab w:val="left" w:pos="996"/>
        </w:tabs>
        <w:ind w:firstLine="580"/>
        <w:jc w:val="both"/>
      </w:pPr>
      <w:r>
        <w:t>обобщение правоприменительной практики;</w:t>
      </w:r>
    </w:p>
    <w:p>
      <w:pPr>
        <w:pStyle w:val="47"/>
        <w:numPr>
          <w:ilvl w:val="0"/>
          <w:numId w:val="7"/>
        </w:numPr>
        <w:tabs>
          <w:tab w:val="left" w:pos="991"/>
        </w:tabs>
        <w:ind w:firstLine="580"/>
        <w:jc w:val="both"/>
      </w:pPr>
      <w:r>
        <w:t>объявление предостережения;</w:t>
      </w:r>
    </w:p>
    <w:p>
      <w:pPr>
        <w:pStyle w:val="47"/>
        <w:numPr>
          <w:ilvl w:val="0"/>
          <w:numId w:val="7"/>
        </w:numPr>
        <w:tabs>
          <w:tab w:val="left" w:pos="1001"/>
        </w:tabs>
        <w:ind w:firstLine="580"/>
        <w:jc w:val="both"/>
      </w:pPr>
      <w:r>
        <w:t>консультирование;</w:t>
      </w:r>
    </w:p>
    <w:p>
      <w:pPr>
        <w:pStyle w:val="47"/>
        <w:numPr>
          <w:ilvl w:val="0"/>
          <w:numId w:val="7"/>
        </w:numPr>
        <w:tabs>
          <w:tab w:val="left" w:pos="991"/>
        </w:tabs>
        <w:ind w:firstLine="580"/>
        <w:jc w:val="both"/>
      </w:pPr>
      <w:r>
        <w:t>профилактический визит.</w:t>
      </w: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44 Закона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28-ФЗ,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приказом Инспекции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81.01-04-83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утверждена </w:t>
      </w: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нарушений обязательных требований при осуществлении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Инспекцией государственного строительного надзора Камчатского края регионального государственного  строительного надзора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год.</w:t>
      </w:r>
    </w:p>
    <w:p>
      <w:pPr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рамках реализации положений вышеуказанной программы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в части информирования контролируемых лиц и иных заинтересованных лиц по вопросам соблюдения обязательбных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Инспекцией в течение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системно осуществлялось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размещение следующих сведений на официальном сайте Инспекции в сети «Интернет»:</w:t>
      </w:r>
    </w:p>
    <w:p>
      <w:pPr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 т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ексты нормативных правовых актов, регулирующих осуществление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регионального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государственного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строительного надзора в Камчатском крае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instrText xml:space="preserve"> HYPERLINK "https://www.kamgov.ru/instroy/npa-reg;"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https://www.kamgov.ru/instroy/npa-reg;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fldChar w:fldCharType="end"/>
      </w:r>
    </w:p>
    <w:p>
      <w:pPr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сведения об изменениях, внесенных в нормативные правовые акты, регулирующие осуществление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регионального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государственного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строительного надзора в Камчатском крае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, о сроках и порядке их вступления в силу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instrText xml:space="preserve"> HYPERLINK "https://www.kamgov.ru/instroy/svedeniya-ob-izmeneniyh-vnesennih-v-npa-reg;"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https://www.kamgov.ru/instroy/svedeniya-ob-izmeneniyh-vnesennih-v-npa-reg</w:t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;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end"/>
      </w:r>
    </w:p>
    <w:p>
      <w:pPr>
        <w:ind w:firstLine="708"/>
        <w:jc w:val="both"/>
        <w:rPr>
          <w:rFonts w:hint="default" w:ascii="Times New Roman" w:hAnsi="Times New Roman" w:eastAsia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  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instrText xml:space="preserve"> HYPERLINK "https://www.kamgov.ru/instroy/perechen-normativnih-pravovih-aktov-reg" </w:instrTex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fldChar w:fldCharType="separate"/>
      </w:r>
      <w:r>
        <w:rPr>
          <w:rStyle w:val="11"/>
          <w:rFonts w:hint="default" w:ascii="Times New Roman" w:hAnsi="Times New Roman" w:eastAsia="Times New Roman"/>
          <w:sz w:val="28"/>
          <w:szCs w:val="28"/>
          <w:lang w:val="ru-RU" w:eastAsia="zh-CN"/>
        </w:rPr>
        <w:t>https://www.kamgov.ru/instroy/perechen-normativnih-pravovih-aktov-reg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>;</w:t>
      </w:r>
    </w:p>
    <w:p>
      <w:pPr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руководства по соблюдению обязательных требований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instrText xml:space="preserve"> HYPERLINK "https://www.kamgov.ru/instroy/svedeniya-ob-izmeneniyh-vnesennih-v-npa-reg"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https://www.kamgov.ru/instroy/svedeniya-ob-izmeneniyh-vnesennih-v-npa-reg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;</w:t>
      </w:r>
    </w:p>
    <w:p>
      <w:pPr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- п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еречень индикаторов риска нарушения обязательных требований,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критерии и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порядок отнесения объектов контроля к категориям риска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instrText xml:space="preserve"> HYPERLINK "https://www.kamgov.ru/instroy/perechen-indikatorov-riska-reg"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https://www.kamgov.ru/instroy/perechen-indikatorov-riska-reg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;</w:t>
      </w:r>
    </w:p>
    <w:p>
      <w:pPr>
        <w:ind w:firstLine="708"/>
        <w:jc w:val="both"/>
        <w:rPr>
          <w:rFonts w:hint="default" w:ascii="Times New Roman" w:hAnsi="Times New Roman" w:eastAsia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перечень объектов контроля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с указанием категории риска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в виде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реестр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объектов капитального строительства,</w:t>
      </w:r>
      <w:r>
        <w:rPr>
          <w:rFonts w:hint="default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в отношении которых осуществляется региональный государственный строительный надзор</w:t>
      </w:r>
      <w:r>
        <w:rPr>
          <w:rFonts w:hint="default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Инспекцией </w:t>
      </w:r>
      <w:r>
        <w:rPr>
          <w:rFonts w:hint="default" w:ascii="Times New Roman" w:hAnsi="Times New Roman" w:eastAsia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Times New Roman"/>
          <w:sz w:val="28"/>
          <w:szCs w:val="28"/>
          <w:lang w:val="en-US" w:eastAsia="zh-CN"/>
        </w:rPr>
        <w:instrText xml:space="preserve"> HYPERLINK "https://www.kamgov.ru/instroy/perechen-obiyektov-kontrolya-reg" </w:instrText>
      </w:r>
      <w:r>
        <w:rPr>
          <w:rFonts w:hint="default" w:ascii="Times New Roman" w:hAnsi="Times New Roman" w:eastAsia="Times New Roman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default" w:ascii="Times New Roman" w:hAnsi="Times New Roman" w:eastAsia="Times New Roman"/>
          <w:sz w:val="28"/>
          <w:szCs w:val="28"/>
          <w:lang w:val="en-US" w:eastAsia="zh-CN"/>
        </w:rPr>
        <w:t>https://www.kamgov.ru/instroy/perechen-obiyektov-kontrolya-reg</w:t>
      </w:r>
      <w:r>
        <w:rPr>
          <w:rFonts w:hint="default" w:ascii="Times New Roman" w:hAnsi="Times New Roman" w:eastAsia="Times New Roman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ru-RU" w:eastAsia="zh-CN"/>
        </w:rPr>
        <w:t>;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программ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профилактики рисков причинения вреда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instrText xml:space="preserve"> HYPERLINK "https://www.kamgov.ru/instroy/programma-prophilaktiki-reg;"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https://www.kamgov.ru/instroy/programma-prophilaktiki-reg</w:t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;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end"/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исчерпывающий перечень сведений, которые могут запрашиваться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Инспекцией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у контролируемого лица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instrText xml:space="preserve"> HYPERLINK "https://www.kamgov.ru/instroy/provedenie-kontrolnih-meropriyatiy-reg/zaprashivaemie-svedeniya-reg;"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https://www.kamgov.ru/instroy/provedenie-kontrolnih-meropriyatiy-reg/zaprashivaemie-svedeniya-reg;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end"/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сведения о способах получения консультаций по вопросам соблюдения обязательных требований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instrText xml:space="preserve"> HYPERLINK "https://www.kamgov.ru/instroy/polychenie-konsyltaciy-reg;"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https://www.kamgov.ru/instroy/polychenie-konsyltaciy-reg;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end"/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сведения о порядке досудебного обжалования решений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Инспекции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, действий (бездействия) 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должностных лиц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instrText xml:space="preserve"> HYPERLINK "https://www.kamgov.ru/instroy/dosydebnoe-obzhalovanie-reg;"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https://www.kamgov.ru/instroy/dosydebnoe-obzhalovanie-reg;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end"/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доклады, содержащие результаты обобщения правоприменительной практики контрольного (надзорного) органа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instrText xml:space="preserve"> HYPERLINK "https://www.kamgov.ru/instroy/dokladi-o-rezyltatah-pravoprimenitelnoy-praktiki-reg;"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https://www.kamgov.ru/instroy/dokladi-o-rezyltatah-pravoprimenitelnoy-praktiki-reg</w:t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;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end"/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доклады о государственном контроле (надзоре)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instrText xml:space="preserve"> HYPERLINK "https://www.kamgov.ru/instroy/dokladi-o-goskontrole-reg."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separate"/>
      </w:r>
      <w:r>
        <w:rPr>
          <w:rStyle w:val="11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https://www.kamgov.ru/instroy/dokladi-o-goskontrole-reg.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end"/>
      </w:r>
    </w:p>
    <w:p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Инспекцией проведено 201 профилактическое мероприятие, в том числе: информирование – 21; объявление предостережения – 42; консультирование – 112; профилактические визиты – 26 (из них обязательные – 12).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01.01.2023 по 01.10.2023 </w:t>
      </w:r>
      <w:r>
        <w:rPr>
          <w:rFonts w:ascii="Times New Roman" w:hAnsi="Times New Roman" w:cs="Times New Roman"/>
          <w:sz w:val="28"/>
          <w:szCs w:val="28"/>
        </w:rPr>
        <w:t xml:space="preserve">Инспекцией проведено </w:t>
      </w:r>
      <w:r>
        <w:rPr>
          <w:rFonts w:ascii="Times New Roman" w:hAnsi="Times New Roman" w:cs="Times New Roman"/>
          <w:color w:val="0000FF"/>
          <w:sz w:val="28"/>
          <w:szCs w:val="28"/>
        </w:rPr>
        <w:t>201 профилактическое мероприятие, в том числе: информирование – 21; объявление предостережения – 42; консультирование – 112; профилактические визиты – 26 (из них обязательные – 12).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Действенным методом профилактики нарушений обязательных требований служит размещение на официальной странице Инспекции в сети «Интернет» в соответствующих тематических разделах информационных, разъясняющих материалов, а также руководств по соблюдению обязательных требований при осуществлении строительства, реконструкции объектов капитального строительства в рамках осуществления регионального строительного надзора на территории Камчатского края.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осуществляется консультирование подконтрольных субъектов по возникающим вопросам в процессе взаимодействия с Инспекцией в рамках регионального государственного строительного надзора.</w:t>
      </w:r>
    </w:p>
    <w:p>
      <w:pPr>
        <w:pStyle w:val="53"/>
        <w:jc w:val="center"/>
        <w:rPr>
          <w:color w:val="252525"/>
          <w:sz w:val="21"/>
          <w:szCs w:val="21"/>
          <w:shd w:val="clear" w:color="auto" w:fill="FFFFFF"/>
        </w:rPr>
      </w:pPr>
    </w:p>
    <w:p>
      <w:pPr>
        <w:pStyle w:val="2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>
      <w:pPr>
        <w:pStyle w:val="47"/>
        <w:tabs>
          <w:tab w:val="left" w:pos="783"/>
        </w:tabs>
        <w:ind w:left="580" w:firstLine="0"/>
        <w:jc w:val="both"/>
        <w:rPr>
          <w:rFonts w:eastAsia="MS Mincho"/>
          <w:lang w:eastAsia="ja-JP"/>
        </w:rPr>
      </w:pPr>
    </w:p>
    <w:p>
      <w:pPr>
        <w:pStyle w:val="47"/>
        <w:tabs>
          <w:tab w:val="left" w:pos="783"/>
        </w:tabs>
        <w:ind w:left="580" w:firstLine="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Цели реализации программы профилактики:</w:t>
      </w:r>
    </w:p>
    <w:p>
      <w:pPr>
        <w:pStyle w:val="47"/>
        <w:numPr>
          <w:ilvl w:val="0"/>
          <w:numId w:val="8"/>
        </w:numPr>
        <w:tabs>
          <w:tab w:val="left" w:pos="783"/>
        </w:tabs>
        <w:ind w:firstLine="58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стимулирование добросовестного соблюдения обязательных требований всеми контролируемыми лицами.</w:t>
      </w:r>
    </w:p>
    <w:p>
      <w:pPr>
        <w:pStyle w:val="47"/>
        <w:numPr>
          <w:ilvl w:val="0"/>
          <w:numId w:val="8"/>
        </w:numPr>
        <w:tabs>
          <w:tab w:val="left" w:pos="783"/>
        </w:tabs>
        <w:ind w:firstLine="58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47"/>
        <w:numPr>
          <w:ilvl w:val="0"/>
          <w:numId w:val="8"/>
        </w:numPr>
        <w:tabs>
          <w:tab w:val="left" w:pos="783"/>
        </w:tabs>
        <w:ind w:firstLine="58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47"/>
        <w:numPr>
          <w:ilvl w:val="0"/>
          <w:numId w:val="8"/>
        </w:numPr>
        <w:tabs>
          <w:tab w:val="left" w:pos="783"/>
        </w:tabs>
        <w:ind w:firstLine="58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повышение прозрачности осуществления регионального государственного строительного надзора.</w:t>
      </w:r>
    </w:p>
    <w:p>
      <w:pPr>
        <w:pStyle w:val="27"/>
        <w:jc w:val="both"/>
        <w:rPr>
          <w:rFonts w:ascii="Times New Roman" w:hAnsi="Times New Roman"/>
          <w:sz w:val="28"/>
          <w:szCs w:val="28"/>
        </w:rPr>
      </w:pPr>
      <w:bookmarkStart w:id="0" w:name="bookmark9"/>
    </w:p>
    <w:p>
      <w:pPr>
        <w:pStyle w:val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реализации программы профилактики:</w:t>
      </w:r>
      <w:bookmarkEnd w:id="0"/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условий, причин и факторов, способствующих нарушению обязательных требований и (или) причинению вреда (ущерба) охраняемым законом ценностям в области регионального государственного строительного надзора;</w:t>
      </w:r>
    </w:p>
    <w:p>
      <w:pPr>
        <w:pStyle w:val="27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квалификации должностных лиц Инспекции, уполномоченных осуществлять региональный государственный строительный надзор;</w:t>
      </w:r>
    </w:p>
    <w:p>
      <w:pPr>
        <w:pStyle w:val="27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профилактических мероприятий;</w:t>
      </w:r>
    </w:p>
    <w:p>
      <w:pPr>
        <w:pStyle w:val="27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правовой грамотности контролируемых лиц и их ответственности за соблюдением требований законодательства и нормативных правовых актов, регулирующих правоотношения в области строительства и регионального государственного строительного надзора;</w:t>
      </w:r>
    </w:p>
    <w:p>
      <w:pPr>
        <w:pStyle w:val="27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информированности контролируемых лиц о требованиях законодательства в области регионального государственного строительного надзора.</w:t>
      </w:r>
    </w:p>
    <w:p>
      <w:pPr>
        <w:pStyle w:val="53"/>
        <w:jc w:val="center"/>
        <w:rPr>
          <w:b/>
          <w:bCs/>
          <w:sz w:val="26"/>
          <w:szCs w:val="26"/>
        </w:rPr>
      </w:pPr>
    </w:p>
    <w:p>
      <w:pPr>
        <w:pStyle w:val="2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05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профилактических мероприятий, сроки (периодичность) их проведения </w:t>
      </w:r>
    </w:p>
    <w:p>
      <w:pPr>
        <w:pStyle w:val="27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>
      <w:pPr>
        <w:pStyle w:val="27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профилактических мероприятий: </w:t>
      </w:r>
    </w:p>
    <w:p>
      <w:pPr>
        <w:pStyle w:val="2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информирование;</w:t>
      </w:r>
    </w:p>
    <w:p>
      <w:pPr>
        <w:pStyle w:val="2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>
      <w:pPr>
        <w:pStyle w:val="2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предостережения;</w:t>
      </w:r>
    </w:p>
    <w:p>
      <w:pPr>
        <w:pStyle w:val="2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>
      <w:pPr>
        <w:pStyle w:val="2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профилактический визит.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путем проведения профилактических мероприятий в соответствии с планом-графиком проведения профилактических мероприятий (Приложение).</w:t>
      </w:r>
    </w:p>
    <w:p>
      <w:pPr>
        <w:pStyle w:val="27"/>
        <w:ind w:left="0" w:firstLine="708"/>
        <w:jc w:val="both"/>
        <w:rPr>
          <w:sz w:val="28"/>
          <w:szCs w:val="28"/>
        </w:rPr>
      </w:pPr>
    </w:p>
    <w:p>
      <w:pPr>
        <w:pStyle w:val="53"/>
        <w:jc w:val="center"/>
        <w:rPr>
          <w:b/>
          <w:bCs/>
          <w:sz w:val="26"/>
          <w:szCs w:val="26"/>
        </w:rPr>
      </w:pPr>
    </w:p>
    <w:p>
      <w:pPr>
        <w:pStyle w:val="53"/>
        <w:jc w:val="center"/>
        <w:rPr>
          <w:b/>
          <w:bCs/>
          <w:sz w:val="26"/>
          <w:szCs w:val="26"/>
        </w:rPr>
        <w:sectPr>
          <w:footerReference r:id="rId6" w:type="first"/>
          <w:footerReference r:id="rId5" w:type="default"/>
          <w:pgSz w:w="11906" w:h="16838"/>
          <w:pgMar w:top="1134" w:right="850" w:bottom="1134" w:left="1701" w:header="709" w:footer="709" w:gutter="0"/>
          <w:pgNumType w:start="1"/>
          <w:cols w:space="708" w:num="1"/>
          <w:titlePg/>
          <w:docGrid w:linePitch="360" w:charSpace="0"/>
        </w:sectPr>
      </w:pPr>
    </w:p>
    <w:tbl>
      <w:tblPr>
        <w:tblStyle w:val="22"/>
        <w:tblW w:w="1516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5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>
            <w:pPr>
              <w:pStyle w:val="5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Программе профилактики рисков причинения вреда (ущерба) охраняемым законом ценностям в сфере регионального государственного строительного надзора Инспекцией государственного строительного надзора Камчатского края</w:t>
            </w:r>
          </w:p>
        </w:tc>
      </w:tr>
    </w:tbl>
    <w:p>
      <w:pPr>
        <w:pStyle w:val="55"/>
        <w:ind w:left="4795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>
      <w:pPr>
        <w:pStyle w:val="55"/>
        <w:ind w:left="479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План-график проведения профилактических мероприятий</w:t>
      </w:r>
    </w:p>
    <w:p>
      <w:pPr>
        <w:pStyle w:val="55"/>
        <w:ind w:left="4795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22"/>
        <w:tblW w:w="1460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95"/>
        <w:gridCol w:w="368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55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п/п №</w:t>
            </w:r>
          </w:p>
        </w:tc>
        <w:tc>
          <w:tcPr>
            <w:tcW w:w="6095" w:type="dxa"/>
            <w:vAlign w:val="center"/>
          </w:tcPr>
          <w:p>
            <w:pPr>
              <w:pStyle w:val="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Виды профилактических мероприятий</w:t>
            </w:r>
          </w:p>
        </w:tc>
        <w:tc>
          <w:tcPr>
            <w:tcW w:w="3685" w:type="dxa"/>
            <w:vAlign w:val="center"/>
          </w:tcPr>
          <w:p>
            <w:pPr>
              <w:pStyle w:val="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Сроки (периодичность) проведения</w:t>
            </w:r>
          </w:p>
        </w:tc>
        <w:tc>
          <w:tcPr>
            <w:tcW w:w="4111" w:type="dxa"/>
            <w:vAlign w:val="center"/>
          </w:tcPr>
          <w:p>
            <w:pPr>
              <w:pStyle w:val="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095" w:type="dxa"/>
          </w:tcPr>
          <w:p>
            <w:pPr>
              <w:pStyle w:val="49"/>
              <w:tabs>
                <w:tab w:val="left" w:pos="2285"/>
                <w:tab w:val="left" w:pos="4378"/>
              </w:tabs>
              <w:ind w:firstLine="0"/>
              <w:jc w:val="both"/>
            </w:pPr>
            <w:r>
              <w:rPr>
                <w:color w:val="000000"/>
                <w:lang w:bidi="ru-RU"/>
              </w:rPr>
              <w:t>Информирование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осуществляется посредством</w:t>
            </w:r>
          </w:p>
          <w:p>
            <w:pPr>
              <w:pStyle w:val="49"/>
              <w:tabs>
                <w:tab w:val="left" w:pos="1714"/>
                <w:tab w:val="left" w:pos="4027"/>
                <w:tab w:val="left" w:pos="5438"/>
              </w:tabs>
              <w:ind w:firstLine="0"/>
              <w:jc w:val="both"/>
            </w:pPr>
            <w:r>
              <w:rPr>
                <w:color w:val="000000"/>
                <w:lang w:bidi="ru-RU"/>
              </w:rPr>
              <w:t>размещения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соответствующих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сведений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на</w:t>
            </w:r>
          </w:p>
          <w:p>
            <w:pPr>
              <w:pStyle w:val="49"/>
              <w:ind w:firstLine="0"/>
              <w:jc w:val="both"/>
            </w:pPr>
            <w:r>
              <w:rPr>
                <w:color w:val="000000"/>
                <w:lang w:bidi="ru-RU"/>
              </w:rPr>
              <w:t>официальном сайте Инспекции в информационно-</w:t>
            </w:r>
            <w:r>
              <w:rPr>
                <w:color w:val="000000"/>
                <w:lang w:bidi="ru-RU"/>
              </w:rPr>
              <w:softHyphen/>
            </w:r>
            <w:r>
              <w:rPr>
                <w:color w:val="000000"/>
                <w:lang w:bidi="ru-RU"/>
              </w:rPr>
              <w:t>телекоммуникационной сети «Интернет»</w:t>
            </w:r>
            <w:r>
              <w:fldChar w:fldCharType="begin"/>
            </w:r>
            <w:r>
              <w:instrText xml:space="preserve"> HYPERLINK "https://www.krasnadzor.ru/" </w:instrText>
            </w:r>
            <w:r>
              <w:fldChar w:fldCharType="separate"/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66CC"/>
                <w:u w:val="single"/>
                <w:lang w:val="en-US" w:bidi="en-US"/>
              </w:rPr>
              <w:t>https</w:t>
            </w:r>
            <w:r>
              <w:rPr>
                <w:color w:val="0066CC"/>
                <w:u w:val="single"/>
                <w:lang w:bidi="en-US"/>
              </w:rPr>
              <w:t>://</w:t>
            </w:r>
            <w:r>
              <w:rPr>
                <w:color w:val="0066CC"/>
                <w:u w:val="single"/>
                <w:lang w:val="en-US" w:bidi="en-US"/>
              </w:rPr>
              <w:t>www</w:t>
            </w:r>
            <w:r>
              <w:rPr>
                <w:color w:val="0066CC"/>
                <w:u w:val="single"/>
                <w:lang w:bidi="en-US"/>
              </w:rPr>
              <w:t>.</w:t>
            </w:r>
            <w:r>
              <w:rPr>
                <w:color w:val="0066CC"/>
                <w:u w:val="single"/>
                <w:lang w:val="en-US" w:bidi="en-US"/>
              </w:rPr>
              <w:t>kamgov</w:t>
            </w:r>
            <w:r>
              <w:rPr>
                <w:color w:val="0066CC"/>
                <w:u w:val="single"/>
                <w:lang w:bidi="en-US"/>
              </w:rPr>
              <w:t>.</w:t>
            </w:r>
            <w:r>
              <w:rPr>
                <w:color w:val="0066CC"/>
                <w:u w:val="single"/>
                <w:lang w:val="en-US" w:bidi="en-US"/>
              </w:rPr>
              <w:t>ru</w:t>
            </w:r>
            <w:r>
              <w:rPr>
                <w:color w:val="0066CC"/>
                <w:u w:val="single"/>
                <w:lang w:bidi="en-US"/>
              </w:rPr>
              <w:t>/</w:t>
            </w:r>
            <w:r>
              <w:rPr>
                <w:color w:val="0066CC"/>
                <w:u w:val="single"/>
                <w:lang w:val="en-US" w:bidi="en-US"/>
              </w:rPr>
              <w:t>instroy</w:t>
            </w:r>
            <w:r>
              <w:rPr>
                <w:color w:val="0066CC"/>
                <w:lang w:bidi="en-US"/>
              </w:rPr>
              <w:t xml:space="preserve"> </w:t>
            </w:r>
            <w:r>
              <w:rPr>
                <w:color w:val="0066CC"/>
                <w:lang w:bidi="en-US"/>
              </w:rPr>
              <w:fldChar w:fldCharType="end"/>
            </w:r>
            <w:r>
              <w:rPr>
                <w:color w:val="000000"/>
                <w:lang w:bidi="ru-RU"/>
              </w:rPr>
              <w:t>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>
            <w:pPr>
              <w:pStyle w:val="49"/>
              <w:ind w:firstLine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Инспекция размещает и поддерживает в актуальном состоянии на официальном сайте: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>
            <w:pPr>
              <w:pStyle w:val="55"/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 xml:space="preserve"> постоянной основе</w:t>
            </w:r>
          </w:p>
        </w:tc>
        <w:tc>
          <w:tcPr>
            <w:tcW w:w="4111" w:type="dxa"/>
            <w:vMerge w:val="restart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6095" w:type="dxa"/>
          </w:tcPr>
          <w:p>
            <w:pPr>
              <w:pStyle w:val="49"/>
              <w:tabs>
                <w:tab w:val="left" w:pos="893"/>
                <w:tab w:val="left" w:pos="898"/>
                <w:tab w:val="left" w:pos="1963"/>
                <w:tab w:val="left" w:pos="3715"/>
                <w:tab w:val="left" w:pos="5064"/>
              </w:tabs>
              <w:ind w:firstLine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тексты нормативных правовых актов, регулирующих осуществление регионального государственного строительного надзора;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6095" w:type="dxa"/>
          </w:tcPr>
          <w:p>
            <w:pPr>
              <w:pStyle w:val="49"/>
              <w:tabs>
                <w:tab w:val="left" w:pos="864"/>
                <w:tab w:val="left" w:pos="898"/>
                <w:tab w:val="left" w:pos="2083"/>
                <w:tab w:val="left" w:pos="2630"/>
                <w:tab w:val="left" w:pos="4200"/>
                <w:tab w:val="left" w:pos="5597"/>
              </w:tabs>
              <w:ind w:firstLine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сведения об изменениях, внесенных в нормативные правовые акты, регулирующие осуществление регионального государственного строительного надзора, о сроках и порядке их вступления в силу;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1.3</w:t>
            </w:r>
          </w:p>
        </w:tc>
        <w:tc>
          <w:tcPr>
            <w:tcW w:w="6095" w:type="dxa"/>
          </w:tcPr>
          <w:p>
            <w:pPr>
              <w:pStyle w:val="49"/>
              <w:tabs>
                <w:tab w:val="left" w:pos="898"/>
                <w:tab w:val="left" w:pos="3350"/>
                <w:tab w:val="left" w:pos="4680"/>
                <w:tab w:val="left" w:pos="5602"/>
              </w:tabs>
              <w:ind w:firstLine="0"/>
              <w:jc w:val="both"/>
              <w:rPr>
                <w:color w:val="000000"/>
                <w:lang w:bidi="ru-RU"/>
              </w:rPr>
            </w:pPr>
            <w:r>
              <w:fldChar w:fldCharType="begin"/>
            </w:r>
            <w:r>
              <w:instrText xml:space="preserve"> HYPERLINK "http://www.consultant.ru/document/cons_doc_LAW_213122/%23dst0" </w:instrText>
            </w:r>
            <w:r>
              <w:fldChar w:fldCharType="separate"/>
            </w:r>
            <w:r>
              <w:rPr>
                <w:color w:val="000000"/>
                <w:lang w:bidi="ru-RU"/>
              </w:rPr>
              <w:t xml:space="preserve">перечень </w:t>
            </w:r>
            <w:r>
              <w:rPr>
                <w:color w:val="000000"/>
                <w:lang w:bidi="ru-RU"/>
              </w:rPr>
              <w:fldChar w:fldCharType="end"/>
            </w:r>
            <w:r>
              <w:rPr>
                <w:color w:val="000000"/>
                <w:lang w:bidi="ru-RU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строительного надзора, а также информацию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перечень объектов контроля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 xml:space="preserve"> в виде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zh-CN" w:bidi="ar-SA"/>
              </w:rPr>
              <w:t>реестр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zh-CN" w:bidi="ar-SA"/>
              </w:rPr>
              <w:t xml:space="preserve"> объектов капитального строительства, указанных в части 1 статьи 54 Градостроительного кодекса Российской Федерации, в отношении которых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Инспекцией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zh-CN" w:bidi="ar-SA"/>
              </w:rPr>
              <w:t>осуществля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>ется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zh-CN" w:bidi="ar-SA"/>
              </w:rPr>
              <w:t xml:space="preserve"> региональный государственный строительный надзор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>в Камчатском крае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;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Поддерживается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 xml:space="preserve"> в актуальном состоянии на постоянной основе</w:t>
            </w: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6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программу профилактики рисков причинения вреда;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В течение 5 дней со дня утверждения</w:t>
            </w: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7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8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9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1.1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доклад, содержащий результаты обобщения правоприменительной практики Инспекции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28.02.202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4111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1.1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доклад о региональном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государственном строительном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надзоре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До 15.03.202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4111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1.1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сведений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6095" w:type="dxa"/>
          </w:tcPr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Обобщение правоприменительной практики.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Инспекция обеспечивает подготовку доклада о правоприменительной практике.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с 01.02.202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28.02.202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.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на сайте Инспекции в срок до 05.03.202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4111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Заместитель руководителя Инспекции – заместитель главного государственного инспектора государственного строительного надзора Камчатского края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3.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685" w:type="dxa"/>
          </w:tcPr>
          <w:p>
            <w:pPr>
              <w:pStyle w:val="53"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В течение года,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Подготовка проекта предостережения - должностные лица Инспекции, уполномоченные от ее имени осуществлять региональный государственный строительный надзор.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Подписание предостережения – руководитель Инспекции.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09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6095" w:type="dxa"/>
          </w:tcPr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Консультирование.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Способы консультирования: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телефону,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посредством видео-конференц-связи,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 личном приеме либо в ходе проведения профилактического мероприятия, контрольного (надзорного) мероприятия.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Перечень вопросов, по которым осуществляется консультирование: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по вопросам, связанным с организацией и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осуществлением регионального государственного строительного надзора;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об обязательных требованиях, предъявляемых к деятельности контролируемых лиц;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по порядку обжалования решений службы, действий (бездействия) ее должностных лиц;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по порядку подачи возражений на предостережение о недопустимости нарушения обязательных требований; </w:t>
            </w:r>
          </w:p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об административной ответственности за нарушение обязательных требований, предъявляемых к деятельности контролируемых лиц.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>
            <w:pPr>
              <w:pStyle w:val="5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года (по мере необходимости). </w:t>
            </w:r>
          </w:p>
        </w:tc>
        <w:tc>
          <w:tcPr>
            <w:tcW w:w="4111" w:type="dxa"/>
            <w:vAlign w:val="center"/>
          </w:tcPr>
          <w:p>
            <w:pPr>
              <w:pStyle w:val="5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Должностные лица Инспекции, уполномоченные от ее имени осуществлять региональный государственный строительный надзор.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09" w:type="dxa"/>
            <w:vMerge w:val="restart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6095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Профилактический визит.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 осуществляется при поступлении в Инспекцию извещения о начале строительства объекта капитального строительства до проведения первой программной проверки.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  <w:vMerge w:val="restart"/>
            <w:vAlign w:val="center"/>
          </w:tcPr>
          <w:p>
            <w:pPr>
              <w:pStyle w:val="5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Должностные лица Инспекции, уполномоченные от ее имени осуществлять региональный государственный строительный надзор.</w:t>
            </w:r>
          </w:p>
          <w:p>
            <w:pPr>
              <w:pStyle w:val="5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09" w:type="dxa"/>
            <w:vMerge w:val="continue"/>
          </w:tcPr>
          <w:p>
            <w:pPr>
              <w:pStyle w:val="55"/>
              <w:jc w:val="both"/>
            </w:pPr>
          </w:p>
        </w:tc>
        <w:tc>
          <w:tcPr>
            <w:tcW w:w="6095" w:type="dxa"/>
            <w:vMerge w:val="continue"/>
          </w:tcPr>
          <w:p>
            <w:pPr>
              <w:pStyle w:val="55"/>
              <w:jc w:val="both"/>
            </w:pPr>
          </w:p>
        </w:tc>
        <w:tc>
          <w:tcPr>
            <w:tcW w:w="3685" w:type="dxa"/>
          </w:tcPr>
          <w:p>
            <w:pPr>
              <w:pStyle w:val="55"/>
              <w:jc w:val="both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Профилактический визит осуществляется при поступлении в Инспекцию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обращения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контролируемого лица в согласованный с ним срок.</w:t>
            </w:r>
          </w:p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vMerge w:val="continue"/>
          </w:tcPr>
          <w:p>
            <w:pPr>
              <w:pStyle w:val="55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</w:tr>
    </w:tbl>
    <w:p>
      <w:pPr>
        <w:pStyle w:val="53"/>
        <w:jc w:val="center"/>
        <w:rPr>
          <w:b/>
          <w:bCs/>
          <w:sz w:val="26"/>
          <w:szCs w:val="26"/>
        </w:rPr>
      </w:pPr>
    </w:p>
    <w:p>
      <w:pPr>
        <w:pStyle w:val="53"/>
        <w:jc w:val="center"/>
        <w:rPr>
          <w:b/>
          <w:bCs/>
          <w:sz w:val="26"/>
          <w:szCs w:val="26"/>
        </w:rPr>
      </w:pPr>
    </w:p>
    <w:p>
      <w:pPr>
        <w:pStyle w:val="53"/>
        <w:jc w:val="center"/>
        <w:rPr>
          <w:b/>
          <w:bCs/>
          <w:sz w:val="26"/>
          <w:szCs w:val="26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>
          <w:headerReference r:id="rId8" w:type="first"/>
          <w:headerReference r:id="rId7" w:type="default"/>
          <w:pgSz w:w="16838" w:h="11906" w:orient="landscape"/>
          <w:pgMar w:top="1701" w:right="1134" w:bottom="850" w:left="1134" w:header="709" w:footer="709" w:gutter="0"/>
          <w:cols w:space="708" w:num="1"/>
          <w:titlePg/>
          <w:docGrid w:linePitch="360" w:charSpace="0"/>
        </w:sect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53"/>
        <w:numPr>
          <w:ilvl w:val="0"/>
          <w:numId w:val="2"/>
        </w:numPr>
        <w:ind w:left="426"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результативности и эффективности Программы</w:t>
      </w:r>
    </w:p>
    <w:p>
      <w:pPr>
        <w:pStyle w:val="53"/>
        <w:jc w:val="center"/>
        <w:rPr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увеличение количества проведённых профилактических мероприятий;</w:t>
      </w:r>
    </w:p>
    <w:p>
      <w:pPr>
        <w:pStyle w:val="53"/>
        <w:jc w:val="both"/>
        <w:rPr>
          <w:sz w:val="28"/>
          <w:szCs w:val="28"/>
        </w:rPr>
      </w:pPr>
      <w:r>
        <w:rPr>
          <w:sz w:val="28"/>
          <w:szCs w:val="28"/>
        </w:rPr>
        <w:t>Базовый период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- 100%.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показатель должен превысить показателю базового периода. Значения в формуле: показатель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– П2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, показатель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- П2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, значение показателя результативности – ПР. Расчёт показателя по формуле:</w:t>
      </w:r>
    </w:p>
    <w:p>
      <w:pPr>
        <w:pStyle w:val="53"/>
        <w:jc w:val="both"/>
        <w:rPr>
          <w:sz w:val="28"/>
          <w:szCs w:val="28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</w:rPr>
            <m:t>ПР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П2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8"/>
                  <w:szCs w:val="28"/>
                  <w:lang w:val="ru-RU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∗100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П2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8"/>
                  <w:szCs w:val="28"/>
                  <w:lang w:val="ru-RU"/>
                </w:rPr>
                <m:t>3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den>
          </m:f>
        </m:oMath>
      </m:oMathPara>
    </w:p>
    <w:p>
      <w:pPr>
        <w:pStyle w:val="53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сокращение доли выданных предписаний по отношению к количеству проведённых контрольных (надзорных) мероприятий;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- 100%.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показатель должен иметь значение ниже показателя базового периода. Значения в формуле: количество мероприятий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М2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предписаний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Пр2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, количество мероприятий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М2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количество предписаний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Пр2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значение показателя результативности – ПР. Расчёт показателя по формуле:</w:t>
      </w:r>
    </w:p>
    <w:p>
      <w:pPr>
        <w:pStyle w:val="53"/>
        <w:numPr>
          <w:ilvl w:val="0"/>
          <w:numId w:val="10"/>
        </w:numPr>
        <w:jc w:val="center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>
      <w:pPr>
        <w:pStyle w:val="53"/>
        <w:ind w:left="720"/>
        <w:jc w:val="center"/>
        <w:rPr>
          <w:sz w:val="28"/>
          <w:szCs w:val="28"/>
        </w:rPr>
      </w:pPr>
    </w:p>
    <w:p>
      <w:pPr>
        <w:pStyle w:val="53"/>
        <w:numPr>
          <w:ilvl w:val="0"/>
          <w:numId w:val="10"/>
        </w:numPr>
        <w:jc w:val="center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>
      <w:pPr>
        <w:pStyle w:val="53"/>
        <w:rPr>
          <w:sz w:val="28"/>
          <w:szCs w:val="28"/>
        </w:rPr>
      </w:pPr>
    </w:p>
    <w:p>
      <w:pPr>
        <w:pStyle w:val="53"/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≥ ПР2</w:t>
      </w:r>
      <w:r>
        <w:rPr>
          <w:rFonts w:hint="default"/>
          <w:sz w:val="28"/>
          <w:szCs w:val="28"/>
          <w:lang w:val="ru-RU"/>
        </w:rPr>
        <w:t>4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увеличение доли устранённых нарушений обязательных требований при строительстве (реконструкции) поднадзорных объектов по отношению к выявленным;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- 100%.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показатель должен иметь значение выше показателя базового периода. Значения в формуле: количество выявленных нарушений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Н2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, количество устранённых нарушений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У2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, количество выявленных нарушений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Н2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устранённых нарушений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У2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значение показателя результативности – ПР. Расчёт показателя по формуле:</w:t>
      </w:r>
    </w:p>
    <w:p>
      <w:pPr>
        <w:pStyle w:val="53"/>
        <w:numPr>
          <w:ilvl w:val="0"/>
          <w:numId w:val="11"/>
        </w:numPr>
        <w:jc w:val="center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>
      <w:pPr>
        <w:pStyle w:val="53"/>
        <w:ind w:left="720"/>
        <w:jc w:val="center"/>
        <w:rPr>
          <w:sz w:val="28"/>
          <w:szCs w:val="28"/>
        </w:rPr>
      </w:pPr>
    </w:p>
    <w:p>
      <w:pPr>
        <w:pStyle w:val="53"/>
        <w:numPr>
          <w:ilvl w:val="0"/>
          <w:numId w:val="11"/>
        </w:numPr>
        <w:jc w:val="center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>
      <w:pPr>
        <w:pStyle w:val="53"/>
        <w:rPr>
          <w:sz w:val="28"/>
          <w:szCs w:val="28"/>
        </w:rPr>
      </w:pPr>
    </w:p>
    <w:p>
      <w:pPr>
        <w:pStyle w:val="53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≤ ПР2</w:t>
      </w:r>
      <w:r>
        <w:rPr>
          <w:rFonts w:hint="default"/>
          <w:sz w:val="28"/>
          <w:szCs w:val="28"/>
          <w:lang w:val="ru-RU"/>
        </w:rPr>
        <w:t>4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уменьшение количества административных дел по отношению к количеству проведённых контрольных (надзорных) мероприятий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- 100%.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показатель должен иметь значение ниже показателя базового периода. Значения в формуле: количество мероприятий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дел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Д2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, количество мероприятий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М2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количество дел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Д2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значение показателя результативности – ПР. Расчёт показателя по формуле: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3"/>
        <w:numPr>
          <w:ilvl w:val="0"/>
          <w:numId w:val="12"/>
        </w:numPr>
        <w:jc w:val="center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3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>
      <w:pPr>
        <w:pStyle w:val="53"/>
        <w:ind w:left="720"/>
        <w:jc w:val="center"/>
        <w:rPr>
          <w:sz w:val="28"/>
          <w:szCs w:val="28"/>
        </w:rPr>
      </w:pPr>
    </w:p>
    <w:p>
      <w:pPr>
        <w:pStyle w:val="53"/>
        <w:numPr>
          <w:ilvl w:val="0"/>
          <w:numId w:val="12"/>
        </w:numPr>
        <w:jc w:val="center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>
      <w:pPr>
        <w:pStyle w:val="53"/>
        <w:rPr>
          <w:sz w:val="28"/>
          <w:szCs w:val="28"/>
        </w:rPr>
      </w:pPr>
    </w:p>
    <w:p>
      <w:pPr>
        <w:pStyle w:val="53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≥ ПР2</w:t>
      </w:r>
      <w:r>
        <w:rPr>
          <w:rFonts w:hint="default"/>
          <w:sz w:val="28"/>
          <w:szCs w:val="28"/>
          <w:lang w:val="ru-RU"/>
        </w:rPr>
        <w:t>4</w:t>
      </w:r>
      <w:bookmarkStart w:id="1" w:name="_GoBack"/>
      <w:bookmarkEnd w:id="1"/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0520841"/>
      <w:docPartObj>
        <w:docPartGallery w:val="autotext"/>
      </w:docPartObj>
    </w:sdtPr>
    <w:sdtContent>
      <w:p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2416171"/>
      <w:docPartObj>
        <w:docPartGallery w:val="autotext"/>
      </w:docPartObj>
    </w:sdtPr>
    <w:sdtContent>
      <w:p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179776"/>
      <w:docPartObj>
        <w:docPartGallery w:val="autotext"/>
      </w:docPartObj>
    </w:sdtPr>
    <w:sdtContent>
      <w:p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919817"/>
      <w:docPartObj>
        <w:docPartGallery w:val="autotext"/>
      </w:docPartObj>
    </w:sdtPr>
    <w:sdtContent>
      <w:p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01684"/>
    <w:multiLevelType w:val="multilevel"/>
    <w:tmpl w:val="1D6016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MS Minch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75A9"/>
    <w:multiLevelType w:val="multilevel"/>
    <w:tmpl w:val="1DE175A9"/>
    <w:lvl w:ilvl="0" w:tentative="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68" w:hanging="360"/>
      </w:pPr>
    </w:lvl>
    <w:lvl w:ilvl="2" w:tentative="0">
      <w:start w:val="1"/>
      <w:numFmt w:val="lowerRoman"/>
      <w:lvlText w:val="%3."/>
      <w:lvlJc w:val="right"/>
      <w:pPr>
        <w:ind w:left="3088" w:hanging="180"/>
      </w:pPr>
    </w:lvl>
    <w:lvl w:ilvl="3" w:tentative="0">
      <w:start w:val="1"/>
      <w:numFmt w:val="decimal"/>
      <w:lvlText w:val="%4."/>
      <w:lvlJc w:val="left"/>
      <w:pPr>
        <w:ind w:left="3808" w:hanging="360"/>
      </w:pPr>
    </w:lvl>
    <w:lvl w:ilvl="4" w:tentative="0">
      <w:start w:val="1"/>
      <w:numFmt w:val="lowerLetter"/>
      <w:lvlText w:val="%5."/>
      <w:lvlJc w:val="left"/>
      <w:pPr>
        <w:ind w:left="4528" w:hanging="360"/>
      </w:pPr>
    </w:lvl>
    <w:lvl w:ilvl="5" w:tentative="0">
      <w:start w:val="1"/>
      <w:numFmt w:val="lowerRoman"/>
      <w:lvlText w:val="%6."/>
      <w:lvlJc w:val="right"/>
      <w:pPr>
        <w:ind w:left="5248" w:hanging="180"/>
      </w:pPr>
    </w:lvl>
    <w:lvl w:ilvl="6" w:tentative="0">
      <w:start w:val="1"/>
      <w:numFmt w:val="decimal"/>
      <w:lvlText w:val="%7."/>
      <w:lvlJc w:val="left"/>
      <w:pPr>
        <w:ind w:left="5968" w:hanging="360"/>
      </w:pPr>
    </w:lvl>
    <w:lvl w:ilvl="7" w:tentative="0">
      <w:start w:val="1"/>
      <w:numFmt w:val="lowerLetter"/>
      <w:lvlText w:val="%8."/>
      <w:lvlJc w:val="left"/>
      <w:pPr>
        <w:ind w:left="6688" w:hanging="360"/>
      </w:pPr>
    </w:lvl>
    <w:lvl w:ilvl="8" w:tentative="0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20AA40DC"/>
    <w:multiLevelType w:val="multilevel"/>
    <w:tmpl w:val="20AA40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MS Minch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6974"/>
    <w:multiLevelType w:val="multilevel"/>
    <w:tmpl w:val="2E3F69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MS Minch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A30"/>
    <w:multiLevelType w:val="multilevel"/>
    <w:tmpl w:val="46630A30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1FB4B3C"/>
    <w:multiLevelType w:val="multilevel"/>
    <w:tmpl w:val="51FB4B3C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4FD32E8"/>
    <w:multiLevelType w:val="multilevel"/>
    <w:tmpl w:val="54FD32E8"/>
    <w:lvl w:ilvl="0" w:tentative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9C7B07"/>
    <w:multiLevelType w:val="multilevel"/>
    <w:tmpl w:val="599C7B07"/>
    <w:lvl w:ilvl="0" w:tentative="0">
      <w:start w:val="1"/>
      <w:numFmt w:val="decimal"/>
      <w:lvlText w:val="%1."/>
      <w:lvlJc w:val="left"/>
      <w:pPr>
        <w:ind w:left="6341" w:hanging="109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8">
    <w:nsid w:val="60DF24CB"/>
    <w:multiLevelType w:val="multilevel"/>
    <w:tmpl w:val="60DF24C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66F80996"/>
    <w:multiLevelType w:val="multilevel"/>
    <w:tmpl w:val="66F80996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7319617B"/>
    <w:multiLevelType w:val="multilevel"/>
    <w:tmpl w:val="7319617B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7EB41A5A"/>
    <w:multiLevelType w:val="multilevel"/>
    <w:tmpl w:val="7EB41A5A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626A"/>
    <w:rsid w:val="000076D1"/>
    <w:rsid w:val="00007A63"/>
    <w:rsid w:val="00007CB3"/>
    <w:rsid w:val="00007F23"/>
    <w:rsid w:val="00007FBF"/>
    <w:rsid w:val="000107E4"/>
    <w:rsid w:val="00013782"/>
    <w:rsid w:val="00013F7D"/>
    <w:rsid w:val="0001718C"/>
    <w:rsid w:val="00017C9C"/>
    <w:rsid w:val="000237E2"/>
    <w:rsid w:val="00023DCE"/>
    <w:rsid w:val="00027D18"/>
    <w:rsid w:val="00030162"/>
    <w:rsid w:val="00032C42"/>
    <w:rsid w:val="00037D4D"/>
    <w:rsid w:val="00037FAA"/>
    <w:rsid w:val="00040125"/>
    <w:rsid w:val="00041E34"/>
    <w:rsid w:val="00050666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4F13"/>
    <w:rsid w:val="00074F30"/>
    <w:rsid w:val="0008023A"/>
    <w:rsid w:val="00081722"/>
    <w:rsid w:val="000822D6"/>
    <w:rsid w:val="00091540"/>
    <w:rsid w:val="0009237F"/>
    <w:rsid w:val="00093A5E"/>
    <w:rsid w:val="0009605D"/>
    <w:rsid w:val="00097AEC"/>
    <w:rsid w:val="00097DE4"/>
    <w:rsid w:val="000A06D3"/>
    <w:rsid w:val="000A14E2"/>
    <w:rsid w:val="000A2857"/>
    <w:rsid w:val="000A2D8F"/>
    <w:rsid w:val="000A2E3F"/>
    <w:rsid w:val="000A50EE"/>
    <w:rsid w:val="000A5D49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1616"/>
    <w:rsid w:val="000D20DE"/>
    <w:rsid w:val="000D29E5"/>
    <w:rsid w:val="000D5285"/>
    <w:rsid w:val="000D6587"/>
    <w:rsid w:val="000E0974"/>
    <w:rsid w:val="000E09DC"/>
    <w:rsid w:val="000E0BC5"/>
    <w:rsid w:val="000E1530"/>
    <w:rsid w:val="000E3B09"/>
    <w:rsid w:val="000E5F91"/>
    <w:rsid w:val="000E71E5"/>
    <w:rsid w:val="000F08AD"/>
    <w:rsid w:val="000F219E"/>
    <w:rsid w:val="000F24B5"/>
    <w:rsid w:val="000F5A56"/>
    <w:rsid w:val="000F6D7F"/>
    <w:rsid w:val="000F79F4"/>
    <w:rsid w:val="00100628"/>
    <w:rsid w:val="001007FC"/>
    <w:rsid w:val="001031E8"/>
    <w:rsid w:val="00103973"/>
    <w:rsid w:val="001110D4"/>
    <w:rsid w:val="00112228"/>
    <w:rsid w:val="00114393"/>
    <w:rsid w:val="001143D8"/>
    <w:rsid w:val="001166CE"/>
    <w:rsid w:val="001167F2"/>
    <w:rsid w:val="00120FEF"/>
    <w:rsid w:val="0012132C"/>
    <w:rsid w:val="001246CA"/>
    <w:rsid w:val="00134AA4"/>
    <w:rsid w:val="00136188"/>
    <w:rsid w:val="001361C8"/>
    <w:rsid w:val="00136E9D"/>
    <w:rsid w:val="001404B8"/>
    <w:rsid w:val="00140684"/>
    <w:rsid w:val="001407DC"/>
    <w:rsid w:val="00142BAA"/>
    <w:rsid w:val="0014435D"/>
    <w:rsid w:val="00150FB1"/>
    <w:rsid w:val="00153993"/>
    <w:rsid w:val="00157585"/>
    <w:rsid w:val="001576E5"/>
    <w:rsid w:val="00157B28"/>
    <w:rsid w:val="001618E0"/>
    <w:rsid w:val="00162116"/>
    <w:rsid w:val="00163482"/>
    <w:rsid w:val="00164AB3"/>
    <w:rsid w:val="00165586"/>
    <w:rsid w:val="001672C5"/>
    <w:rsid w:val="0017077C"/>
    <w:rsid w:val="001712D7"/>
    <w:rsid w:val="001713CA"/>
    <w:rsid w:val="001750A0"/>
    <w:rsid w:val="00176A16"/>
    <w:rsid w:val="00180B19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2374"/>
    <w:rsid w:val="001B30A5"/>
    <w:rsid w:val="001B4CBF"/>
    <w:rsid w:val="001B5F7C"/>
    <w:rsid w:val="001C0E68"/>
    <w:rsid w:val="001C3EAA"/>
    <w:rsid w:val="001C6C83"/>
    <w:rsid w:val="001D388A"/>
    <w:rsid w:val="001D3AEA"/>
    <w:rsid w:val="001E2C9D"/>
    <w:rsid w:val="001E538A"/>
    <w:rsid w:val="001F0E98"/>
    <w:rsid w:val="001F2302"/>
    <w:rsid w:val="001F5267"/>
    <w:rsid w:val="001F54B3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1B32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1DA1"/>
    <w:rsid w:val="00264313"/>
    <w:rsid w:val="00265B02"/>
    <w:rsid w:val="00267819"/>
    <w:rsid w:val="00270371"/>
    <w:rsid w:val="0027690C"/>
    <w:rsid w:val="002772AB"/>
    <w:rsid w:val="00280872"/>
    <w:rsid w:val="00282D50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0D6E"/>
    <w:rsid w:val="002B229D"/>
    <w:rsid w:val="002B3D6D"/>
    <w:rsid w:val="002B7644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46D4"/>
    <w:rsid w:val="002F5F45"/>
    <w:rsid w:val="002F688D"/>
    <w:rsid w:val="00300338"/>
    <w:rsid w:val="0030358E"/>
    <w:rsid w:val="00304425"/>
    <w:rsid w:val="00305851"/>
    <w:rsid w:val="003061DB"/>
    <w:rsid w:val="00307F77"/>
    <w:rsid w:val="00312BCE"/>
    <w:rsid w:val="00314822"/>
    <w:rsid w:val="00315D98"/>
    <w:rsid w:val="003169A3"/>
    <w:rsid w:val="003227BE"/>
    <w:rsid w:val="00323FE2"/>
    <w:rsid w:val="00326CD8"/>
    <w:rsid w:val="00327DEF"/>
    <w:rsid w:val="00333C4C"/>
    <w:rsid w:val="00333CCE"/>
    <w:rsid w:val="003343D9"/>
    <w:rsid w:val="00336B83"/>
    <w:rsid w:val="0034051A"/>
    <w:rsid w:val="003424A2"/>
    <w:rsid w:val="00342912"/>
    <w:rsid w:val="00342A2F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6D49"/>
    <w:rsid w:val="00367AD3"/>
    <w:rsid w:val="00370CC1"/>
    <w:rsid w:val="00374598"/>
    <w:rsid w:val="003774B4"/>
    <w:rsid w:val="00380E8C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4FFD"/>
    <w:rsid w:val="003C5844"/>
    <w:rsid w:val="003C6426"/>
    <w:rsid w:val="003D15F1"/>
    <w:rsid w:val="003D4044"/>
    <w:rsid w:val="003E1F6F"/>
    <w:rsid w:val="003E23E1"/>
    <w:rsid w:val="003E47B9"/>
    <w:rsid w:val="003E7729"/>
    <w:rsid w:val="003F32B6"/>
    <w:rsid w:val="003F4316"/>
    <w:rsid w:val="003F6D3F"/>
    <w:rsid w:val="004000A6"/>
    <w:rsid w:val="004003F2"/>
    <w:rsid w:val="00415B02"/>
    <w:rsid w:val="00420411"/>
    <w:rsid w:val="00427823"/>
    <w:rsid w:val="00437160"/>
    <w:rsid w:val="00443638"/>
    <w:rsid w:val="00445A27"/>
    <w:rsid w:val="00445B84"/>
    <w:rsid w:val="00446622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0F41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95169"/>
    <w:rsid w:val="004A03B5"/>
    <w:rsid w:val="004A0A76"/>
    <w:rsid w:val="004A4294"/>
    <w:rsid w:val="004A4AFA"/>
    <w:rsid w:val="004A775D"/>
    <w:rsid w:val="004B0035"/>
    <w:rsid w:val="004B5193"/>
    <w:rsid w:val="004C0012"/>
    <w:rsid w:val="004C5641"/>
    <w:rsid w:val="004D3DA7"/>
    <w:rsid w:val="004D5612"/>
    <w:rsid w:val="004D6487"/>
    <w:rsid w:val="004D7BE9"/>
    <w:rsid w:val="004E6975"/>
    <w:rsid w:val="004E78AA"/>
    <w:rsid w:val="004F00DC"/>
    <w:rsid w:val="004F1214"/>
    <w:rsid w:val="004F1303"/>
    <w:rsid w:val="004F15A0"/>
    <w:rsid w:val="004F29E4"/>
    <w:rsid w:val="004F59BC"/>
    <w:rsid w:val="0050428A"/>
    <w:rsid w:val="005053F3"/>
    <w:rsid w:val="005135DE"/>
    <w:rsid w:val="005164CC"/>
    <w:rsid w:val="005203FE"/>
    <w:rsid w:val="00520525"/>
    <w:rsid w:val="00521203"/>
    <w:rsid w:val="00521B4F"/>
    <w:rsid w:val="005222E7"/>
    <w:rsid w:val="00522ED0"/>
    <w:rsid w:val="005237B7"/>
    <w:rsid w:val="00525131"/>
    <w:rsid w:val="00525DFA"/>
    <w:rsid w:val="00526CD1"/>
    <w:rsid w:val="00527249"/>
    <w:rsid w:val="0053042B"/>
    <w:rsid w:val="00532D41"/>
    <w:rsid w:val="005365FB"/>
    <w:rsid w:val="0054426C"/>
    <w:rsid w:val="00546B03"/>
    <w:rsid w:val="00546C91"/>
    <w:rsid w:val="00550993"/>
    <w:rsid w:val="00552E44"/>
    <w:rsid w:val="005550E6"/>
    <w:rsid w:val="005553DD"/>
    <w:rsid w:val="00556552"/>
    <w:rsid w:val="00557AE4"/>
    <w:rsid w:val="00561FFD"/>
    <w:rsid w:val="005646AE"/>
    <w:rsid w:val="005652B2"/>
    <w:rsid w:val="005660AF"/>
    <w:rsid w:val="0056686C"/>
    <w:rsid w:val="0057176A"/>
    <w:rsid w:val="00572104"/>
    <w:rsid w:val="00574255"/>
    <w:rsid w:val="00574CD2"/>
    <w:rsid w:val="00576541"/>
    <w:rsid w:val="00577E4C"/>
    <w:rsid w:val="00583791"/>
    <w:rsid w:val="00583EDA"/>
    <w:rsid w:val="0058653C"/>
    <w:rsid w:val="005917A9"/>
    <w:rsid w:val="00591E4C"/>
    <w:rsid w:val="00596C50"/>
    <w:rsid w:val="005A25C2"/>
    <w:rsid w:val="005A59DC"/>
    <w:rsid w:val="005A6C21"/>
    <w:rsid w:val="005A7073"/>
    <w:rsid w:val="005B0D72"/>
    <w:rsid w:val="005B22D6"/>
    <w:rsid w:val="005B4255"/>
    <w:rsid w:val="005B5C6F"/>
    <w:rsid w:val="005B73C0"/>
    <w:rsid w:val="005C0984"/>
    <w:rsid w:val="005C1070"/>
    <w:rsid w:val="005C6534"/>
    <w:rsid w:val="005C677E"/>
    <w:rsid w:val="005C68C3"/>
    <w:rsid w:val="005D16FD"/>
    <w:rsid w:val="005D18FD"/>
    <w:rsid w:val="005D2163"/>
    <w:rsid w:val="005D2C84"/>
    <w:rsid w:val="005D2E91"/>
    <w:rsid w:val="005D3F58"/>
    <w:rsid w:val="005D496C"/>
    <w:rsid w:val="005D5212"/>
    <w:rsid w:val="005D6508"/>
    <w:rsid w:val="005E0927"/>
    <w:rsid w:val="005E4CA6"/>
    <w:rsid w:val="005F3DC7"/>
    <w:rsid w:val="005F6229"/>
    <w:rsid w:val="005F6A46"/>
    <w:rsid w:val="005F6EF2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27886"/>
    <w:rsid w:val="00630F95"/>
    <w:rsid w:val="00631460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2BF6"/>
    <w:rsid w:val="006A4267"/>
    <w:rsid w:val="006A5C94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E5F86"/>
    <w:rsid w:val="006F0FD8"/>
    <w:rsid w:val="006F1DEB"/>
    <w:rsid w:val="006F270F"/>
    <w:rsid w:val="006F2FFA"/>
    <w:rsid w:val="006F4BCD"/>
    <w:rsid w:val="006F4F09"/>
    <w:rsid w:val="006F69C5"/>
    <w:rsid w:val="006F69C7"/>
    <w:rsid w:val="006F7099"/>
    <w:rsid w:val="0070055E"/>
    <w:rsid w:val="00701299"/>
    <w:rsid w:val="007021E4"/>
    <w:rsid w:val="00705947"/>
    <w:rsid w:val="00705F3A"/>
    <w:rsid w:val="007068BA"/>
    <w:rsid w:val="007071BC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116"/>
    <w:rsid w:val="007275CD"/>
    <w:rsid w:val="00727E12"/>
    <w:rsid w:val="00730DCE"/>
    <w:rsid w:val="00731674"/>
    <w:rsid w:val="00732231"/>
    <w:rsid w:val="00732F81"/>
    <w:rsid w:val="0073505F"/>
    <w:rsid w:val="00741149"/>
    <w:rsid w:val="0074248C"/>
    <w:rsid w:val="007450A0"/>
    <w:rsid w:val="00745704"/>
    <w:rsid w:val="00745F30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340"/>
    <w:rsid w:val="00794D52"/>
    <w:rsid w:val="00797070"/>
    <w:rsid w:val="007A2692"/>
    <w:rsid w:val="007A3696"/>
    <w:rsid w:val="007A64C3"/>
    <w:rsid w:val="007B2D66"/>
    <w:rsid w:val="007B318F"/>
    <w:rsid w:val="007B5209"/>
    <w:rsid w:val="007B55D0"/>
    <w:rsid w:val="007B5D8A"/>
    <w:rsid w:val="007C1E70"/>
    <w:rsid w:val="007C3330"/>
    <w:rsid w:val="007C3976"/>
    <w:rsid w:val="007C50C6"/>
    <w:rsid w:val="007C5AB4"/>
    <w:rsid w:val="007C6991"/>
    <w:rsid w:val="007D0661"/>
    <w:rsid w:val="007D2159"/>
    <w:rsid w:val="007D3836"/>
    <w:rsid w:val="007D5DDD"/>
    <w:rsid w:val="007D6D5F"/>
    <w:rsid w:val="007E2464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4D37"/>
    <w:rsid w:val="00807EEF"/>
    <w:rsid w:val="008130A5"/>
    <w:rsid w:val="00814244"/>
    <w:rsid w:val="0081584A"/>
    <w:rsid w:val="008166B6"/>
    <w:rsid w:val="008213FD"/>
    <w:rsid w:val="00823411"/>
    <w:rsid w:val="0082503C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166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419F"/>
    <w:rsid w:val="00894832"/>
    <w:rsid w:val="0089582A"/>
    <w:rsid w:val="008965EC"/>
    <w:rsid w:val="00896D7C"/>
    <w:rsid w:val="008A176E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7DAC"/>
    <w:rsid w:val="008E084B"/>
    <w:rsid w:val="008E16D8"/>
    <w:rsid w:val="008E2AE1"/>
    <w:rsid w:val="008E2D82"/>
    <w:rsid w:val="008E3D8F"/>
    <w:rsid w:val="008E51C7"/>
    <w:rsid w:val="008F064C"/>
    <w:rsid w:val="008F4480"/>
    <w:rsid w:val="008F59B3"/>
    <w:rsid w:val="00902D28"/>
    <w:rsid w:val="0090682F"/>
    <w:rsid w:val="00912F89"/>
    <w:rsid w:val="00913641"/>
    <w:rsid w:val="009156DE"/>
    <w:rsid w:val="00917590"/>
    <w:rsid w:val="00920438"/>
    <w:rsid w:val="0092096B"/>
    <w:rsid w:val="009231BE"/>
    <w:rsid w:val="0092610C"/>
    <w:rsid w:val="00927B6F"/>
    <w:rsid w:val="00933A52"/>
    <w:rsid w:val="00934ADB"/>
    <w:rsid w:val="0093592C"/>
    <w:rsid w:val="00935E8B"/>
    <w:rsid w:val="009415AE"/>
    <w:rsid w:val="009416DA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3228"/>
    <w:rsid w:val="00976C58"/>
    <w:rsid w:val="00976FB1"/>
    <w:rsid w:val="0098065E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8B0"/>
    <w:rsid w:val="009C1FC8"/>
    <w:rsid w:val="009C6B2D"/>
    <w:rsid w:val="009C7C11"/>
    <w:rsid w:val="009D05B9"/>
    <w:rsid w:val="009D0BB2"/>
    <w:rsid w:val="009D1FC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529F"/>
    <w:rsid w:val="00A066F8"/>
    <w:rsid w:val="00A10046"/>
    <w:rsid w:val="00A12842"/>
    <w:rsid w:val="00A13D97"/>
    <w:rsid w:val="00A14FC6"/>
    <w:rsid w:val="00A17AF7"/>
    <w:rsid w:val="00A20606"/>
    <w:rsid w:val="00A21077"/>
    <w:rsid w:val="00A21C2C"/>
    <w:rsid w:val="00A25A66"/>
    <w:rsid w:val="00A2649C"/>
    <w:rsid w:val="00A273CD"/>
    <w:rsid w:val="00A30160"/>
    <w:rsid w:val="00A307DD"/>
    <w:rsid w:val="00A33999"/>
    <w:rsid w:val="00A33D18"/>
    <w:rsid w:val="00A37EE8"/>
    <w:rsid w:val="00A43CF4"/>
    <w:rsid w:val="00A474EF"/>
    <w:rsid w:val="00A51D45"/>
    <w:rsid w:val="00A54A5A"/>
    <w:rsid w:val="00A5633B"/>
    <w:rsid w:val="00A5778E"/>
    <w:rsid w:val="00A60ED2"/>
    <w:rsid w:val="00A638B2"/>
    <w:rsid w:val="00A67248"/>
    <w:rsid w:val="00A70078"/>
    <w:rsid w:val="00A703BC"/>
    <w:rsid w:val="00A72F83"/>
    <w:rsid w:val="00A75FCB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3927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6B92"/>
    <w:rsid w:val="00AD0F81"/>
    <w:rsid w:val="00AD227B"/>
    <w:rsid w:val="00AD232D"/>
    <w:rsid w:val="00AD4008"/>
    <w:rsid w:val="00AE0AD2"/>
    <w:rsid w:val="00AE11A5"/>
    <w:rsid w:val="00AE47C8"/>
    <w:rsid w:val="00AE53F5"/>
    <w:rsid w:val="00AE67BE"/>
    <w:rsid w:val="00AF4010"/>
    <w:rsid w:val="00AF7812"/>
    <w:rsid w:val="00B02E74"/>
    <w:rsid w:val="00B077B0"/>
    <w:rsid w:val="00B10123"/>
    <w:rsid w:val="00B102F7"/>
    <w:rsid w:val="00B112E6"/>
    <w:rsid w:val="00B1407F"/>
    <w:rsid w:val="00B140C8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43FB"/>
    <w:rsid w:val="00B463D5"/>
    <w:rsid w:val="00B46CFE"/>
    <w:rsid w:val="00B51AD5"/>
    <w:rsid w:val="00B5434F"/>
    <w:rsid w:val="00B565DA"/>
    <w:rsid w:val="00B57513"/>
    <w:rsid w:val="00B57AAD"/>
    <w:rsid w:val="00B60980"/>
    <w:rsid w:val="00B60B73"/>
    <w:rsid w:val="00B61009"/>
    <w:rsid w:val="00B6134A"/>
    <w:rsid w:val="00B6449E"/>
    <w:rsid w:val="00B64AD4"/>
    <w:rsid w:val="00B66309"/>
    <w:rsid w:val="00B75F35"/>
    <w:rsid w:val="00B8312D"/>
    <w:rsid w:val="00B83E69"/>
    <w:rsid w:val="00B85375"/>
    <w:rsid w:val="00B85EDE"/>
    <w:rsid w:val="00B86218"/>
    <w:rsid w:val="00B868EE"/>
    <w:rsid w:val="00B90ED9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CF8"/>
    <w:rsid w:val="00BC1DF6"/>
    <w:rsid w:val="00BC2AEB"/>
    <w:rsid w:val="00BC339E"/>
    <w:rsid w:val="00BC3EBB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2790A"/>
    <w:rsid w:val="00C30E7C"/>
    <w:rsid w:val="00C3253B"/>
    <w:rsid w:val="00C33EAB"/>
    <w:rsid w:val="00C3760C"/>
    <w:rsid w:val="00C4033E"/>
    <w:rsid w:val="00C40818"/>
    <w:rsid w:val="00C433DB"/>
    <w:rsid w:val="00C45249"/>
    <w:rsid w:val="00C459B8"/>
    <w:rsid w:val="00C45E06"/>
    <w:rsid w:val="00C464BC"/>
    <w:rsid w:val="00C46667"/>
    <w:rsid w:val="00C505B2"/>
    <w:rsid w:val="00C50F74"/>
    <w:rsid w:val="00C50FC3"/>
    <w:rsid w:val="00C51DDF"/>
    <w:rsid w:val="00C53D41"/>
    <w:rsid w:val="00C57197"/>
    <w:rsid w:val="00C57CFC"/>
    <w:rsid w:val="00C57E91"/>
    <w:rsid w:val="00C615ED"/>
    <w:rsid w:val="00C633D8"/>
    <w:rsid w:val="00C7145B"/>
    <w:rsid w:val="00C74586"/>
    <w:rsid w:val="00C75ABC"/>
    <w:rsid w:val="00C81A6B"/>
    <w:rsid w:val="00C83349"/>
    <w:rsid w:val="00C8497D"/>
    <w:rsid w:val="00C854A0"/>
    <w:rsid w:val="00C859E3"/>
    <w:rsid w:val="00C8679C"/>
    <w:rsid w:val="00C87D34"/>
    <w:rsid w:val="00C900E0"/>
    <w:rsid w:val="00C91535"/>
    <w:rsid w:val="00C92BE7"/>
    <w:rsid w:val="00CA0D11"/>
    <w:rsid w:val="00CA1747"/>
    <w:rsid w:val="00CA4642"/>
    <w:rsid w:val="00CC0D73"/>
    <w:rsid w:val="00CC11DE"/>
    <w:rsid w:val="00CC6822"/>
    <w:rsid w:val="00CC69B4"/>
    <w:rsid w:val="00CC7E15"/>
    <w:rsid w:val="00CC7E22"/>
    <w:rsid w:val="00CD0FE8"/>
    <w:rsid w:val="00CD1086"/>
    <w:rsid w:val="00CD1AD8"/>
    <w:rsid w:val="00CD3B8C"/>
    <w:rsid w:val="00CE135B"/>
    <w:rsid w:val="00CE361D"/>
    <w:rsid w:val="00CE3F52"/>
    <w:rsid w:val="00CE45FC"/>
    <w:rsid w:val="00CE74EB"/>
    <w:rsid w:val="00CF3DA1"/>
    <w:rsid w:val="00CF6818"/>
    <w:rsid w:val="00D0255E"/>
    <w:rsid w:val="00D02F6A"/>
    <w:rsid w:val="00D03CC1"/>
    <w:rsid w:val="00D13D78"/>
    <w:rsid w:val="00D1513E"/>
    <w:rsid w:val="00D17F7E"/>
    <w:rsid w:val="00D216C8"/>
    <w:rsid w:val="00D22350"/>
    <w:rsid w:val="00D245CB"/>
    <w:rsid w:val="00D24C7E"/>
    <w:rsid w:val="00D25BB5"/>
    <w:rsid w:val="00D26A87"/>
    <w:rsid w:val="00D3555B"/>
    <w:rsid w:val="00D375E4"/>
    <w:rsid w:val="00D401A4"/>
    <w:rsid w:val="00D438CA"/>
    <w:rsid w:val="00D47B3D"/>
    <w:rsid w:val="00D55856"/>
    <w:rsid w:val="00D55B55"/>
    <w:rsid w:val="00D55ECB"/>
    <w:rsid w:val="00D5736E"/>
    <w:rsid w:val="00D60232"/>
    <w:rsid w:val="00D60278"/>
    <w:rsid w:val="00D608D6"/>
    <w:rsid w:val="00D6254B"/>
    <w:rsid w:val="00D65259"/>
    <w:rsid w:val="00D70274"/>
    <w:rsid w:val="00D711D4"/>
    <w:rsid w:val="00D74949"/>
    <w:rsid w:val="00D76536"/>
    <w:rsid w:val="00D81FA9"/>
    <w:rsid w:val="00D82EE5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6E2D"/>
    <w:rsid w:val="00DA1C18"/>
    <w:rsid w:val="00DA31CC"/>
    <w:rsid w:val="00DB1A34"/>
    <w:rsid w:val="00DB2A04"/>
    <w:rsid w:val="00DB500E"/>
    <w:rsid w:val="00DB68D1"/>
    <w:rsid w:val="00DC069D"/>
    <w:rsid w:val="00DC08F8"/>
    <w:rsid w:val="00DC18E8"/>
    <w:rsid w:val="00DC268B"/>
    <w:rsid w:val="00DC2B75"/>
    <w:rsid w:val="00DC340E"/>
    <w:rsid w:val="00DC5AA5"/>
    <w:rsid w:val="00DD238A"/>
    <w:rsid w:val="00DD2D19"/>
    <w:rsid w:val="00DF151A"/>
    <w:rsid w:val="00DF2EA1"/>
    <w:rsid w:val="00DF74C6"/>
    <w:rsid w:val="00DF7F9A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02A"/>
    <w:rsid w:val="00E37218"/>
    <w:rsid w:val="00E410DF"/>
    <w:rsid w:val="00E4599E"/>
    <w:rsid w:val="00E54026"/>
    <w:rsid w:val="00E5405E"/>
    <w:rsid w:val="00E5488A"/>
    <w:rsid w:val="00E61486"/>
    <w:rsid w:val="00E61CA9"/>
    <w:rsid w:val="00E646AD"/>
    <w:rsid w:val="00E64872"/>
    <w:rsid w:val="00E655D2"/>
    <w:rsid w:val="00E65B9B"/>
    <w:rsid w:val="00E67ACA"/>
    <w:rsid w:val="00E67D7B"/>
    <w:rsid w:val="00E700E1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09CB"/>
    <w:rsid w:val="00EA4479"/>
    <w:rsid w:val="00EA6440"/>
    <w:rsid w:val="00EA6446"/>
    <w:rsid w:val="00EA6B09"/>
    <w:rsid w:val="00EA74B4"/>
    <w:rsid w:val="00EB00AB"/>
    <w:rsid w:val="00EB00F2"/>
    <w:rsid w:val="00EB2AB5"/>
    <w:rsid w:val="00EB4195"/>
    <w:rsid w:val="00EB5FAF"/>
    <w:rsid w:val="00EB6505"/>
    <w:rsid w:val="00EC0364"/>
    <w:rsid w:val="00EC0506"/>
    <w:rsid w:val="00EC2E51"/>
    <w:rsid w:val="00EC47A7"/>
    <w:rsid w:val="00EC6706"/>
    <w:rsid w:val="00ED119B"/>
    <w:rsid w:val="00ED1C8D"/>
    <w:rsid w:val="00ED451E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062B3"/>
    <w:rsid w:val="00F1070E"/>
    <w:rsid w:val="00F12027"/>
    <w:rsid w:val="00F128B3"/>
    <w:rsid w:val="00F12B7C"/>
    <w:rsid w:val="00F13967"/>
    <w:rsid w:val="00F146DA"/>
    <w:rsid w:val="00F152A6"/>
    <w:rsid w:val="00F170DB"/>
    <w:rsid w:val="00F23FD6"/>
    <w:rsid w:val="00F25B3B"/>
    <w:rsid w:val="00F27E4B"/>
    <w:rsid w:val="00F27E9F"/>
    <w:rsid w:val="00F33D31"/>
    <w:rsid w:val="00F3497F"/>
    <w:rsid w:val="00F4057B"/>
    <w:rsid w:val="00F40E4D"/>
    <w:rsid w:val="00F43837"/>
    <w:rsid w:val="00F445DA"/>
    <w:rsid w:val="00F44B4D"/>
    <w:rsid w:val="00F524CB"/>
    <w:rsid w:val="00F528D7"/>
    <w:rsid w:val="00F53262"/>
    <w:rsid w:val="00F53D4A"/>
    <w:rsid w:val="00F65911"/>
    <w:rsid w:val="00F66A7C"/>
    <w:rsid w:val="00F71C45"/>
    <w:rsid w:val="00F7291B"/>
    <w:rsid w:val="00F732D5"/>
    <w:rsid w:val="00F74A12"/>
    <w:rsid w:val="00F77336"/>
    <w:rsid w:val="00F83F8E"/>
    <w:rsid w:val="00F84F40"/>
    <w:rsid w:val="00F903AF"/>
    <w:rsid w:val="00F91B6B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3BF"/>
    <w:rsid w:val="00FE2D56"/>
    <w:rsid w:val="00FE5849"/>
    <w:rsid w:val="00FE6B14"/>
    <w:rsid w:val="00FE6FD9"/>
    <w:rsid w:val="00FF0AF7"/>
    <w:rsid w:val="00FF31F7"/>
    <w:rsid w:val="00FF60A2"/>
    <w:rsid w:val="00FF629C"/>
    <w:rsid w:val="00FF7491"/>
    <w:rsid w:val="00FF7B06"/>
    <w:rsid w:val="073F3906"/>
    <w:rsid w:val="20E14401"/>
    <w:rsid w:val="283C216B"/>
    <w:rsid w:val="3C5A067F"/>
    <w:rsid w:val="3C7B5999"/>
    <w:rsid w:val="3FE2069A"/>
    <w:rsid w:val="4B406527"/>
    <w:rsid w:val="5DEE5DA8"/>
    <w:rsid w:val="7D5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34"/>
    <w:qFormat/>
    <w:uiPriority w:val="0"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45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35"/>
    <w:qFormat/>
    <w:uiPriority w:val="0"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1"/>
    <w:next w:val="1"/>
    <w:link w:val="30"/>
    <w:qFormat/>
    <w:uiPriority w:val="99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 w:eastAsia="Times New Roman" w:cs="Times New Roman"/>
      <w:i/>
      <w:iCs/>
      <w:color w:val="243F60"/>
      <w:sz w:val="20"/>
      <w:szCs w:val="20"/>
      <w:lang w:eastAsia="ru-RU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unhideWhenUsed/>
    <w:qFormat/>
    <w:uiPriority w:val="0"/>
    <w:rPr>
      <w:vertAlign w:val="superscript"/>
    </w:rPr>
  </w:style>
  <w:style w:type="character" w:styleId="10">
    <w:name w:val="annotation reference"/>
    <w:qFormat/>
    <w:uiPriority w:val="0"/>
    <w:rPr>
      <w:sz w:val="16"/>
      <w:szCs w:val="16"/>
    </w:rPr>
  </w:style>
  <w:style w:type="character" w:styleId="11">
    <w:name w:val="Hyperlink"/>
    <w:unhideWhenUsed/>
    <w:qFormat/>
    <w:uiPriority w:val="99"/>
    <w:rPr>
      <w:color w:val="0083C9"/>
      <w:u w:val="none"/>
    </w:rPr>
  </w:style>
  <w:style w:type="character" w:styleId="12">
    <w:name w:val="Strong"/>
    <w:basedOn w:val="7"/>
    <w:qFormat/>
    <w:uiPriority w:val="22"/>
    <w:rPr>
      <w:b/>
      <w:bCs/>
    </w:rPr>
  </w:style>
  <w:style w:type="paragraph" w:styleId="13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14">
    <w:name w:val="Body Text Indent 3"/>
    <w:basedOn w:val="1"/>
    <w:link w:val="31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5">
    <w:name w:val="annotation text"/>
    <w:basedOn w:val="1"/>
    <w:link w:val="4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6">
    <w:name w:val="footnote text"/>
    <w:basedOn w:val="1"/>
    <w:link w:val="29"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17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Body Text"/>
    <w:basedOn w:val="1"/>
    <w:link w:val="42"/>
    <w:semiHidden/>
    <w:unhideWhenUsed/>
    <w:qFormat/>
    <w:uiPriority w:val="99"/>
    <w:pPr>
      <w:spacing w:after="120"/>
    </w:pPr>
  </w:style>
  <w:style w:type="paragraph" w:styleId="19">
    <w:name w:val="Body Text Indent"/>
    <w:basedOn w:val="1"/>
    <w:link w:val="44"/>
    <w:semiHidden/>
    <w:unhideWhenUsed/>
    <w:uiPriority w:val="99"/>
    <w:pPr>
      <w:spacing w:after="120"/>
      <w:ind w:left="283"/>
    </w:pPr>
  </w:style>
  <w:style w:type="paragraph" w:styleId="20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22">
    <w:name w:val="Table Grid"/>
    <w:basedOn w:val="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apple-converted-space"/>
    <w:basedOn w:val="7"/>
    <w:qFormat/>
    <w:uiPriority w:val="0"/>
  </w:style>
  <w:style w:type="paragraph" w:customStyle="1" w:styleId="24">
    <w:name w:val="Знак Знак Знак Знак"/>
    <w:basedOn w:val="1"/>
    <w:next w:val="1"/>
    <w:semiHidden/>
    <w:qFormat/>
    <w:uiPriority w:val="0"/>
    <w:pPr>
      <w:spacing w:after="160" w:line="240" w:lineRule="exact"/>
    </w:pPr>
    <w:rPr>
      <w:rFonts w:ascii="Arial" w:hAnsi="Arial" w:eastAsia="Times New Roman" w:cs="Arial"/>
      <w:sz w:val="20"/>
      <w:szCs w:val="20"/>
      <w:lang w:val="en-US"/>
    </w:rPr>
  </w:style>
  <w:style w:type="paragraph" w:customStyle="1" w:styleId="25">
    <w:name w:val="ConsNormal"/>
    <w:uiPriority w:val="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6">
    <w:name w:val="Текст выноски Знак"/>
    <w:basedOn w:val="7"/>
    <w:link w:val="13"/>
    <w:semiHidden/>
    <w:qFormat/>
    <w:uiPriority w:val="99"/>
    <w:rPr>
      <w:rFonts w:ascii="Tahoma" w:hAnsi="Tahoma"/>
      <w:sz w:val="16"/>
      <w:szCs w:val="16"/>
    </w:rPr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28">
    <w:name w:val="Font Style20"/>
    <w:qFormat/>
    <w:uiPriority w:val="99"/>
    <w:rPr>
      <w:rFonts w:ascii="Times New Roman" w:hAnsi="Times New Roman"/>
      <w:sz w:val="18"/>
    </w:rPr>
  </w:style>
  <w:style w:type="character" w:customStyle="1" w:styleId="29">
    <w:name w:val="Текст сноски Знак"/>
    <w:basedOn w:val="7"/>
    <w:link w:val="16"/>
    <w:qFormat/>
    <w:uiPriority w:val="0"/>
    <w:rPr>
      <w:sz w:val="20"/>
      <w:szCs w:val="20"/>
    </w:rPr>
  </w:style>
  <w:style w:type="character" w:customStyle="1" w:styleId="30">
    <w:name w:val="Заголовок 6 Знак"/>
    <w:basedOn w:val="7"/>
    <w:link w:val="6"/>
    <w:uiPriority w:val="99"/>
    <w:rPr>
      <w:rFonts w:ascii="Cambria" w:hAnsi="Cambria" w:eastAsia="Times New Roman" w:cs="Times New Roman"/>
      <w:i/>
      <w:iCs/>
      <w:color w:val="243F60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7"/>
    <w:link w:val="14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32">
    <w:name w:val="tekstob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Заголовок 1 Знак"/>
    <w:basedOn w:val="7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34">
    <w:name w:val="Заголовок 2 Знак"/>
    <w:basedOn w:val="7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35">
    <w:name w:val="Заголовок 4 Знак"/>
    <w:basedOn w:val="7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36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3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8">
    <w:name w:val="Знак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character" w:customStyle="1" w:styleId="39">
    <w:name w:val="Верхний колонтитул Знак"/>
    <w:basedOn w:val="7"/>
    <w:link w:val="17"/>
    <w:qFormat/>
    <w:uiPriority w:val="99"/>
  </w:style>
  <w:style w:type="character" w:customStyle="1" w:styleId="40">
    <w:name w:val="Нижний колонтитул Знак"/>
    <w:basedOn w:val="7"/>
    <w:link w:val="20"/>
    <w:qFormat/>
    <w:uiPriority w:val="99"/>
  </w:style>
  <w:style w:type="paragraph" w:customStyle="1" w:styleId="41">
    <w:name w:val="Основной текст с отступом 21"/>
    <w:basedOn w:val="1"/>
    <w:qFormat/>
    <w:uiPriority w:val="0"/>
    <w:pPr>
      <w:suppressAutoHyphens/>
      <w:spacing w:after="0" w:line="240" w:lineRule="auto"/>
      <w:ind w:firstLine="360"/>
      <w:jc w:val="both"/>
    </w:pPr>
    <w:rPr>
      <w:rFonts w:ascii="Arial" w:hAnsi="Arial" w:eastAsia="Times New Roman" w:cs="Arial"/>
      <w:sz w:val="28"/>
      <w:szCs w:val="28"/>
      <w:lang w:eastAsia="ar-SA"/>
    </w:rPr>
  </w:style>
  <w:style w:type="character" w:customStyle="1" w:styleId="42">
    <w:name w:val="Основной текст Знак"/>
    <w:basedOn w:val="7"/>
    <w:link w:val="18"/>
    <w:semiHidden/>
    <w:qFormat/>
    <w:uiPriority w:val="99"/>
  </w:style>
  <w:style w:type="character" w:customStyle="1" w:styleId="43">
    <w:name w:val="Текст примечания Знак"/>
    <w:basedOn w:val="7"/>
    <w:link w:val="1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4">
    <w:name w:val="Основной текст с отступом Знак"/>
    <w:basedOn w:val="7"/>
    <w:link w:val="19"/>
    <w:semiHidden/>
    <w:qFormat/>
    <w:uiPriority w:val="99"/>
  </w:style>
  <w:style w:type="character" w:customStyle="1" w:styleId="45">
    <w:name w:val="Заголовок 3 Знак"/>
    <w:basedOn w:val="7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46">
    <w:name w:val="Основной текст_"/>
    <w:basedOn w:val="7"/>
    <w:link w:val="47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7">
    <w:name w:val="Основной текст1"/>
    <w:basedOn w:val="1"/>
    <w:link w:val="46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48">
    <w:name w:val="Другое_"/>
    <w:basedOn w:val="7"/>
    <w:link w:val="49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49">
    <w:name w:val="Другое"/>
    <w:basedOn w:val="1"/>
    <w:link w:val="48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50">
    <w:name w:val="Основной текст (2)_"/>
    <w:basedOn w:val="7"/>
    <w:link w:val="51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customStyle="1" w:styleId="51">
    <w:name w:val="Основной текст (2)"/>
    <w:basedOn w:val="1"/>
    <w:link w:val="50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5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4">
    <w:name w:val="Подпись к таблице_"/>
    <w:basedOn w:val="7"/>
    <w:link w:val="55"/>
    <w:qFormat/>
    <w:uiPriority w:val="0"/>
    <w:rPr>
      <w:b/>
      <w:bCs/>
    </w:rPr>
  </w:style>
  <w:style w:type="paragraph" w:customStyle="1" w:styleId="55">
    <w:name w:val="Подпись к таблице"/>
    <w:basedOn w:val="1"/>
    <w:link w:val="54"/>
    <w:qFormat/>
    <w:uiPriority w:val="0"/>
    <w:pPr>
      <w:widowControl w:val="0"/>
      <w:spacing w:after="0" w:line="240" w:lineRule="auto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DA56-5E2C-457A-91F2-F7791DCFA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14</Pages>
  <Words>2721</Words>
  <Characters>15512</Characters>
  <Lines>129</Lines>
  <Paragraphs>36</Paragraphs>
  <TotalTime>9</TotalTime>
  <ScaleCrop>false</ScaleCrop>
  <LinksUpToDate>false</LinksUpToDate>
  <CharactersWithSpaces>18197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2022-09-29T02:18:00Z</dcterms:created>
  <dc:creator>Пользователь</dc:creator>
  <cp:lastModifiedBy>KashinaNG</cp:lastModifiedBy>
  <cp:lastPrinted>2022-11-26T03:13:00Z</cp:lastPrinted>
  <dcterms:modified xsi:type="dcterms:W3CDTF">2023-09-28T20:21:44Z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EDDC9027FD6D4643868A70CA68C71AC5</vt:lpwstr>
  </property>
</Properties>
</file>