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СВЕДЕНИЙ, КОТОРЫЕ КОНТРОЛЬНЫЙ (НАДЗОРНЫЙ) ОРГАН ВПРАВЕ ЗАПРАШИВАТЬ У КОНТРОЛИРУЕМОГО ЛИЦА ПРИ ОСУЩЕСТВЛЕНИИ РЕГИОНАЛЬНОГО ГОСУДАРСТВЕННОГО КОНТРОЛЯ В ОБЛАСТИ ДОЛЕВОГО СТРОИТЕЛЬСТВА МНОГОКВАРТИРНЫХ ДОМОВ И (ИЛИ) ИНЫХ ОБЪЕКТОВ НЕДВИЖИМОСТИ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1. Учредительные и регистрационные документы юридического лица (свидетельство о государственной регистрации, свидетельство о постановке на учет в налоговом органе, устав и изменения к нему, учредительный договор и изменения к нему).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2. Документы, подтверждающие сведения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о членстве застройщика в иных некоммерческих организациях.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3. Документы, подтверждающие полномочия руководителя, доверенность представителя юридического лица (иной документ, подтверждающий полномочия представителя).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4. Документы (приказы, должностные инструкции), подтверждающие полномочия должностных лиц юридического лица по составлению, опубликованию (размещению) проектных деклараций, по составлению, представлению ежеквартальной отчетности застройщика, раскрытию информации и иных сведений (документов), предусмотренных законодательством в области долевого строительства многоквартирных домов и (или) иных объектов недвижимости.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5. Технико-экономическое обоснование проекта строительства многоквартирного дома и (или) иного объекта недвижимости.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6. Заключение экспертизы проектной документации, если проведение такой экспертизы установлено федеральным законом.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7. Проектная документация, включающая в себя все внесенные в нее изменения, в том числе сводный сметный расчет, календарный план строительства.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8. Примерный график реализации проекта строительства.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9. Документы, подтверждающие права юридического лица на земельный участок, предоставленный для строительства (создания) многоквартирного дома и (или) иного объекта недвижимости.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10. Договоры на осуществление работ по строительству (созданию) многоквартирных домов и (или) иных объектов недвижимости, на осуществление функций генерального подрядчика, технического заказчика, а также агентские и иные договоры о выполнении по поручению лица, осуществляющего привлечение денежных средств граждан для строительства, работ (оказании услуг), связанных со строительством (созданием) многоквартирных домов и (или) иных объектов недвижимости.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11. Договоры, на основании которых привлекаются денежные средства для целей строительства (создания) многоквартирного дома и (или) иного объекта недвижимости (далее - договоры участия в строительстве), и сведения о причинах ненадлежащего исполнения обязательств по указанным договорам (при наличии договоров, по которым не исполнены обязательства по передаче помещений в многоквартирном доме и (или) ином объекте недвижимости в установленный договором срок).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12. Договоры и иные документы о предоставлении надлежащего обеспечения исполнения застройщиком своих обязательств по заключенным договорам участия в строительстве.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13. Документы, подтверждающие исполнение застройщиком обязательств по договорам участия в строительстве, или документы, подтверждающие исполнение указанным лицом обязанности по возврату полученных денежных средств (иного имущества).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14. Договоры и соглашения, влекущие прекращение обязательств застройщика по договорам участия в долевом строительстве.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15. Документы, подтверждающие государственную регистрацию права собственности застройщика на объекты незавершенного строительства, в случаях, когда законодательством о долевом строительстве установлена обязанность такой регистрации.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16. Документы, подтверждающие уведомление (информирование) участников долевого строительства о завершении строительства (создания) многоквартирного дома и (или) иного объекта недвижимости и о готовности объектов долевого строительства к передаче.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 xml:space="preserve">17. Документы, подтверждающие уведомление (информирование) участников долевого строительства о невозможности завершения строительства (создания) многоквартирного дома и (или) иного объекта недвижимости в </w:t>
      </w:r>
      <w:r>
        <w:rPr>
          <w:color w:val="000000"/>
          <w:sz w:val="28"/>
          <w:szCs w:val="28"/>
        </w:rPr>
        <w:lastRenderedPageBreak/>
        <w:t>предусмотренный договором срок с предложением об изменении соответствующих условий договора.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18. Платежные документы, подтверждающие факт привлечения денежных средств для целей строительства (создания) многоквартирного дома и (или) иного объекта недвижимости.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19. Платежные и (или) иные документы, подтверждающие факт использования денежных средств участников долевого строительства в целях строительства и возмещения затрат в соответствии с законодательством о долевом строительстве.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20. Первичные учетные документы, связанные с долевым строительством, в том числе подтверждающие затраты на строительство (создание) многоквартирных домов и (или) иных объектов недвижимости.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21. Утвержденные годовые отчеты, регистры бухгалтерского учета и бухгалтерская (финансовая) отчетность, представляемые не более чем за три последних года осуществления юридическим лицом предпринимательской деятельности, а при осуществлении такой деятельности менее чем три года - за фактический период предпринимательской деятельности, либо при применении юридическим лицом упрощенной системы налогообложения - книги учета доходов и расходов юридического лица за указанный период.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22. Кассовая книга, книга кассира-</w:t>
      </w:r>
      <w:proofErr w:type="spellStart"/>
      <w:r>
        <w:rPr>
          <w:color w:val="000000"/>
          <w:sz w:val="28"/>
          <w:szCs w:val="28"/>
        </w:rPr>
        <w:t>операц</w:t>
      </w:r>
      <w:bookmarkStart w:id="0" w:name="_GoBack"/>
      <w:bookmarkEnd w:id="0"/>
      <w:r>
        <w:rPr>
          <w:color w:val="000000"/>
          <w:sz w:val="28"/>
          <w:szCs w:val="28"/>
        </w:rPr>
        <w:t>иониста</w:t>
      </w:r>
      <w:proofErr w:type="spellEnd"/>
      <w:r>
        <w:rPr>
          <w:color w:val="000000"/>
          <w:sz w:val="28"/>
          <w:szCs w:val="28"/>
        </w:rPr>
        <w:t>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23. Приказ об учетной политике, рабочий план счетов бухгалтерского учета.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24. Проект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(или) иных объектов недвижимости.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25. Документы, подтверждающие основания внесения изменений и дополнений в проектные декларации.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26. Сведения о размере привлеченных и использованных денежных средств для строительства многоквартирного дома и (или) иного объекта недвижимости в соответствии с проектной документацией.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27. Документы, подтверждающие сведения об открытии/закрытии расчетного счета застройщика в уполномоченном банке, а также наличие в том же банке расчетных счетов генподрядчика, технического заказчика.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28. Информация о физических и (или) юридических лицах, входящих в соответствии с законодательством Российской Федерации о защите конкуренции в одну группу лиц с застройщиком.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 xml:space="preserve">29. Информация об учредителях (участниках) и </w:t>
      </w:r>
      <w:proofErr w:type="spellStart"/>
      <w:r>
        <w:rPr>
          <w:color w:val="000000"/>
          <w:sz w:val="28"/>
          <w:szCs w:val="28"/>
        </w:rPr>
        <w:t>бенефициарных</w:t>
      </w:r>
      <w:proofErr w:type="spellEnd"/>
      <w:r>
        <w:rPr>
          <w:color w:val="000000"/>
          <w:sz w:val="28"/>
          <w:szCs w:val="28"/>
        </w:rPr>
        <w:t xml:space="preserve"> владельцах застройщика, руководителе застройщика и (или) главном бухгалтере застройщика, руководителе управляющей компании, если она осуществляет функции единоличного исполнительного органа застройщика, либо о временном единоличном исполнительном органе застройщика, документы, удостоверяющие их личность и место жительства.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30. Документы, подтверждающие информацию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31. Договор о развитии застроенной территории, договор о комплексном освоении территории или договор о комплексном развитии территории.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 xml:space="preserve">32. Документы, устанавливающие условия привлечения денежных средств участников долевого строительства по договору участия в долевом строительстве в случае размещения таких средств на счетах </w:t>
      </w:r>
      <w:proofErr w:type="spellStart"/>
      <w:r>
        <w:rPr>
          <w:color w:val="000000"/>
          <w:sz w:val="28"/>
          <w:szCs w:val="28"/>
        </w:rPr>
        <w:t>эскроу</w:t>
      </w:r>
      <w:proofErr w:type="spellEnd"/>
      <w:r>
        <w:rPr>
          <w:color w:val="000000"/>
          <w:sz w:val="28"/>
          <w:szCs w:val="28"/>
        </w:rPr>
        <w:t>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33. Документы и сведения, определяющие способ и условия передачи объектов социальной инфраструктуры.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34. Информация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а также о видах таких товаров, работ, услуг.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35. Информация о наличии у лиц,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соответствующих допусков (лицензий) к осуществлению указанных видов работ, поставок товаров и предоставлению услуг.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36. Договоры целевого кредита (займа). Документы, подтверждающие движение денежных средств по этим договорам.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37. Сведения об имуществе, принадлежащем застройщику и используемом для обеспечения исполнения обязательств третьих лиц, а также для обеспечения исполнения собственных обязательств застройщика.</w:t>
      </w:r>
    </w:p>
    <w:p w:rsidR="00686DB4" w:rsidRDefault="00686DB4" w:rsidP="00686DB4">
      <w:pPr>
        <w:pStyle w:val="a3"/>
        <w:shd w:val="clear" w:color="auto" w:fill="F7F7F8"/>
        <w:spacing w:before="0" w:after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38. Сведения об обязательствах по обеспечению исполнения обязательств третьих лиц.</w:t>
      </w:r>
    </w:p>
    <w:p w:rsidR="00686DB4" w:rsidRDefault="00686DB4" w:rsidP="00171BD7">
      <w:pPr>
        <w:pStyle w:val="a3"/>
        <w:shd w:val="clear" w:color="auto" w:fill="F7F7F8"/>
        <w:spacing w:before="0" w:after="0" w:line="270" w:lineRule="atLeast"/>
        <w:jc w:val="both"/>
        <w:rPr>
          <w:color w:val="000000"/>
          <w:sz w:val="28"/>
          <w:szCs w:val="28"/>
        </w:rPr>
      </w:pPr>
    </w:p>
    <w:sectPr w:rsidR="0068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C0"/>
    <w:rsid w:val="00171BD7"/>
    <w:rsid w:val="005B342D"/>
    <w:rsid w:val="00686DB4"/>
    <w:rsid w:val="00781CC0"/>
    <w:rsid w:val="00A114D1"/>
    <w:rsid w:val="00AA2C92"/>
    <w:rsid w:val="00D72C38"/>
    <w:rsid w:val="00E563C8"/>
    <w:rsid w:val="00F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ACDB3-178B-466F-B4CE-A13A6E7F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Максим Олегович</dc:creator>
  <cp:keywords/>
  <dc:description/>
  <cp:lastModifiedBy>Соболев Максим Олегович</cp:lastModifiedBy>
  <cp:revision>4</cp:revision>
  <cp:lastPrinted>2022-07-07T02:56:00Z</cp:lastPrinted>
  <dcterms:created xsi:type="dcterms:W3CDTF">2022-07-07T02:56:00Z</dcterms:created>
  <dcterms:modified xsi:type="dcterms:W3CDTF">2022-07-07T02:59:00Z</dcterms:modified>
</cp:coreProperties>
</file>