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BF" w:rsidRDefault="00274D1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10" o:title=""/>
              </v:shape>
            </w:pict>
          </mc:Fallback>
        </mc:AlternateContent>
      </w:r>
    </w:p>
    <w:p w:rsidR="00AD0EBF" w:rsidRDefault="00AD0EB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D0EBF" w:rsidRPr="007B6C6B" w:rsidRDefault="00AD0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EBF" w:rsidRDefault="00AD0EB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D0EBF" w:rsidRDefault="00274D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ГОСУДАРСТВЕННАЯ ЖИЛИЩНАЯ ИНСПЕКЦИЯ КАМЧАТСКОГО КРАЯ</w:t>
      </w:r>
    </w:p>
    <w:p w:rsidR="00AD0EBF" w:rsidRDefault="00AD0E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D0EBF" w:rsidRDefault="00274D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D0EBF" w:rsidRDefault="00AD0E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D0EBF" w:rsidRDefault="00AD0EB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af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48"/>
      </w:tblGrid>
      <w:tr w:rsidR="00E70683" w:rsidRPr="00E70683">
        <w:trPr>
          <w:trHeight w:val="261"/>
        </w:trPr>
        <w:tc>
          <w:tcPr>
            <w:tcW w:w="424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AD0EBF" w:rsidRPr="00E70683" w:rsidRDefault="00274D1D">
            <w:pPr>
              <w:spacing w:after="60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0" w:name="REGNUMDATESTAMP"/>
            <w:r w:rsidRPr="00E70683">
              <w:rPr>
                <w:rFonts w:ascii="Times New Roman" w:hAnsi="Times New Roman"/>
                <w:color w:val="FFFFFF" w:themeColor="background1"/>
                <w:sz w:val="28"/>
              </w:rPr>
              <w:t>[Д</w:t>
            </w:r>
            <w:r w:rsidRPr="00E70683">
              <w:rPr>
                <w:rFonts w:ascii="Times New Roman" w:hAnsi="Times New Roman"/>
                <w:color w:val="FFFFFF" w:themeColor="background1"/>
              </w:rPr>
              <w:t>ата регистрации] № [Номер документа]</w:t>
            </w:r>
            <w:bookmarkEnd w:id="0"/>
          </w:p>
        </w:tc>
      </w:tr>
    </w:tbl>
    <w:p w:rsidR="00AD0EBF" w:rsidRDefault="00274D1D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AD0EBF" w:rsidRDefault="00AD0E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AD0EBF"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0EBF" w:rsidRDefault="00AD0EBF">
            <w:pPr>
              <w:jc w:val="both"/>
              <w:rPr>
                <w:rFonts w:ascii="Times New Roman" w:hAnsi="Times New Roman"/>
                <w:spacing w:val="1"/>
                <w:szCs w:val="22"/>
              </w:rPr>
            </w:pPr>
          </w:p>
        </w:tc>
      </w:tr>
    </w:tbl>
    <w:p w:rsidR="00AD0EBF" w:rsidRDefault="00274D1D" w:rsidP="000719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</w:t>
      </w:r>
      <w:r w:rsidR="00071989">
        <w:rPr>
          <w:rFonts w:ascii="Times New Roman" w:hAnsi="Times New Roman"/>
          <w:b/>
          <w:sz w:val="28"/>
        </w:rPr>
        <w:t xml:space="preserve">Программы </w:t>
      </w:r>
      <w:r w:rsidR="00071989" w:rsidRPr="00071989">
        <w:rPr>
          <w:rFonts w:ascii="Times New Roman" w:hAnsi="Times New Roman"/>
          <w:b/>
          <w:sz w:val="28"/>
        </w:rPr>
        <w:t>профилактики рисков причинения вр</w:t>
      </w:r>
      <w:r w:rsidR="00071989">
        <w:rPr>
          <w:rFonts w:ascii="Times New Roman" w:hAnsi="Times New Roman"/>
          <w:b/>
          <w:sz w:val="28"/>
        </w:rPr>
        <w:t xml:space="preserve">еда (ущерба) охраняемым законом </w:t>
      </w:r>
      <w:r w:rsidR="00071989" w:rsidRPr="00071989">
        <w:rPr>
          <w:rFonts w:ascii="Times New Roman" w:hAnsi="Times New Roman"/>
          <w:b/>
          <w:sz w:val="28"/>
        </w:rPr>
        <w:t xml:space="preserve">ценностям при осуществлении </w:t>
      </w:r>
      <w:r w:rsidR="00071989">
        <w:rPr>
          <w:rFonts w:ascii="Times New Roman" w:hAnsi="Times New Roman"/>
          <w:b/>
          <w:sz w:val="28"/>
        </w:rPr>
        <w:t>государственно</w:t>
      </w:r>
      <w:r w:rsidR="007B6C6B">
        <w:rPr>
          <w:rFonts w:ascii="Times New Roman" w:hAnsi="Times New Roman"/>
          <w:b/>
          <w:sz w:val="28"/>
        </w:rPr>
        <w:t>го</w:t>
      </w:r>
      <w:r w:rsidR="00071989">
        <w:rPr>
          <w:rFonts w:ascii="Times New Roman" w:hAnsi="Times New Roman"/>
          <w:b/>
          <w:sz w:val="28"/>
        </w:rPr>
        <w:t xml:space="preserve"> </w:t>
      </w:r>
      <w:r w:rsidR="00D70D32">
        <w:rPr>
          <w:rFonts w:ascii="Times New Roman" w:hAnsi="Times New Roman"/>
          <w:b/>
          <w:sz w:val="28"/>
        </w:rPr>
        <w:t>контроля</w:t>
      </w:r>
      <w:r w:rsidR="00071989" w:rsidRPr="00071989">
        <w:rPr>
          <w:rFonts w:ascii="Times New Roman" w:hAnsi="Times New Roman"/>
          <w:b/>
          <w:sz w:val="28"/>
        </w:rPr>
        <w:t xml:space="preserve"> </w:t>
      </w:r>
      <w:r w:rsidR="00D70D32">
        <w:rPr>
          <w:rFonts w:ascii="Times New Roman" w:hAnsi="Times New Roman"/>
          <w:b/>
          <w:sz w:val="28"/>
        </w:rPr>
        <w:t>(</w:t>
      </w:r>
      <w:r w:rsidR="00071989" w:rsidRPr="00071989">
        <w:rPr>
          <w:rFonts w:ascii="Times New Roman" w:hAnsi="Times New Roman"/>
          <w:b/>
          <w:sz w:val="28"/>
        </w:rPr>
        <w:t>надзор</w:t>
      </w:r>
      <w:r w:rsidR="007B6C6B">
        <w:rPr>
          <w:rFonts w:ascii="Times New Roman" w:hAnsi="Times New Roman"/>
          <w:b/>
          <w:sz w:val="28"/>
        </w:rPr>
        <w:t>а</w:t>
      </w:r>
      <w:r w:rsidR="00D70D32">
        <w:rPr>
          <w:rFonts w:ascii="Times New Roman" w:hAnsi="Times New Roman"/>
          <w:b/>
          <w:sz w:val="28"/>
        </w:rPr>
        <w:t xml:space="preserve">) за соблюдением </w:t>
      </w:r>
      <w:r w:rsidR="005E78C5" w:rsidRPr="005E78C5">
        <w:rPr>
          <w:rFonts w:ascii="Times New Roman" w:hAnsi="Times New Roman"/>
          <w:b/>
          <w:sz w:val="28"/>
        </w:rPr>
        <w:t>некоммерческ</w:t>
      </w:r>
      <w:r w:rsidR="005E78C5">
        <w:rPr>
          <w:rFonts w:ascii="Times New Roman" w:hAnsi="Times New Roman"/>
          <w:b/>
          <w:sz w:val="28"/>
        </w:rPr>
        <w:t>ой</w:t>
      </w:r>
      <w:r w:rsidR="005E78C5" w:rsidRPr="005E78C5">
        <w:rPr>
          <w:rFonts w:ascii="Times New Roman" w:hAnsi="Times New Roman"/>
          <w:b/>
          <w:sz w:val="28"/>
        </w:rPr>
        <w:t xml:space="preserve"> организаци</w:t>
      </w:r>
      <w:r w:rsidR="005E78C5">
        <w:rPr>
          <w:rFonts w:ascii="Times New Roman" w:hAnsi="Times New Roman"/>
          <w:b/>
          <w:sz w:val="28"/>
        </w:rPr>
        <w:t>ей</w:t>
      </w:r>
      <w:r w:rsidR="005E78C5" w:rsidRPr="005E78C5">
        <w:rPr>
          <w:rFonts w:ascii="Times New Roman" w:hAnsi="Times New Roman"/>
          <w:b/>
          <w:sz w:val="28"/>
        </w:rPr>
        <w:t xml:space="preserve"> «Фонд капитального ремонта многоквартирных домов Камчатского края»</w:t>
      </w:r>
      <w:r w:rsidR="00D70D32">
        <w:rPr>
          <w:rFonts w:ascii="Times New Roman" w:hAnsi="Times New Roman"/>
          <w:b/>
          <w:sz w:val="28"/>
        </w:rPr>
        <w:t xml:space="preserve">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  <w:r w:rsidR="007B6C6B">
        <w:rPr>
          <w:rFonts w:ascii="Times New Roman" w:hAnsi="Times New Roman"/>
          <w:b/>
          <w:sz w:val="28"/>
        </w:rPr>
        <w:t xml:space="preserve"> </w:t>
      </w:r>
      <w:r w:rsidR="005E78C5">
        <w:rPr>
          <w:rFonts w:ascii="Times New Roman" w:hAnsi="Times New Roman"/>
          <w:b/>
          <w:sz w:val="28"/>
        </w:rPr>
        <w:br/>
      </w:r>
      <w:r w:rsidR="00E70683">
        <w:rPr>
          <w:rFonts w:ascii="Times New Roman" w:hAnsi="Times New Roman"/>
          <w:b/>
          <w:sz w:val="28"/>
        </w:rPr>
        <w:t>на 2025</w:t>
      </w:r>
      <w:r w:rsidR="00071989" w:rsidRPr="00071989">
        <w:rPr>
          <w:rFonts w:ascii="Times New Roman" w:hAnsi="Times New Roman"/>
          <w:b/>
          <w:sz w:val="28"/>
        </w:rPr>
        <w:t xml:space="preserve"> год</w:t>
      </w:r>
    </w:p>
    <w:p w:rsidR="007B6C6B" w:rsidRPr="007B6C6B" w:rsidRDefault="007B6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EBF" w:rsidRDefault="000719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71989">
        <w:rPr>
          <w:rFonts w:ascii="Times New Roman" w:hAnsi="Times New Roman"/>
          <w:sz w:val="28"/>
        </w:rPr>
        <w:t xml:space="preserve">В соответствии </w:t>
      </w:r>
      <w:r w:rsidR="00D70D32">
        <w:rPr>
          <w:rFonts w:ascii="Times New Roman" w:hAnsi="Times New Roman"/>
          <w:sz w:val="28"/>
        </w:rPr>
        <w:t>с</w:t>
      </w:r>
      <w:r w:rsidRPr="00071989">
        <w:rPr>
          <w:rFonts w:ascii="Times New Roman" w:hAnsi="Times New Roman"/>
          <w:sz w:val="28"/>
        </w:rPr>
        <w:t xml:space="preserve"> постановлением Правительства </w:t>
      </w:r>
      <w:r>
        <w:rPr>
          <w:rFonts w:ascii="Times New Roman" w:hAnsi="Times New Roman"/>
          <w:sz w:val="28"/>
        </w:rPr>
        <w:t>Российской Федерации от 25.06.</w:t>
      </w:r>
      <w:r w:rsidRPr="00071989">
        <w:rPr>
          <w:rFonts w:ascii="Times New Roman" w:hAnsi="Times New Roman"/>
          <w:sz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70D32">
        <w:rPr>
          <w:rFonts w:ascii="Times New Roman" w:hAnsi="Times New Roman"/>
          <w:sz w:val="28"/>
        </w:rPr>
        <w:t>постановлением Правительства Российской Федерации от 28.09.2022 № 1702 «</w:t>
      </w:r>
      <w:r w:rsidR="00D70D32" w:rsidRPr="00D70D32">
        <w:rPr>
          <w:rFonts w:ascii="Times New Roman" w:hAnsi="Times New Roman"/>
          <w:sz w:val="28"/>
        </w:rPr>
        <w:t>Об утверждении Правил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  <w:r w:rsidR="00D70D32">
        <w:rPr>
          <w:rFonts w:ascii="Times New Roman" w:hAnsi="Times New Roman"/>
          <w:sz w:val="28"/>
        </w:rPr>
        <w:t xml:space="preserve">», </w:t>
      </w:r>
      <w:r w:rsidRPr="00071989">
        <w:rPr>
          <w:rFonts w:ascii="Times New Roman" w:hAnsi="Times New Roman"/>
          <w:sz w:val="28"/>
        </w:rPr>
        <w:t>в целях предупреждения н</w:t>
      </w:r>
      <w:r w:rsidR="007B6C6B">
        <w:rPr>
          <w:rFonts w:ascii="Times New Roman" w:hAnsi="Times New Roman"/>
          <w:sz w:val="28"/>
        </w:rPr>
        <w:t xml:space="preserve">арушения </w:t>
      </w:r>
      <w:r w:rsidR="00212C1E">
        <w:rPr>
          <w:rFonts w:ascii="Times New Roman" w:hAnsi="Times New Roman"/>
          <w:sz w:val="28"/>
        </w:rPr>
        <w:t>региональным оператором</w:t>
      </w:r>
      <w:r w:rsidRPr="00071989">
        <w:rPr>
          <w:rFonts w:ascii="Times New Roman" w:hAnsi="Times New Roman"/>
          <w:sz w:val="28"/>
        </w:rPr>
        <w:t xml:space="preserve"> требований, соблюдение которых оценивается Государственной жилищ</w:t>
      </w:r>
      <w:r>
        <w:rPr>
          <w:rFonts w:ascii="Times New Roman" w:hAnsi="Times New Roman"/>
          <w:sz w:val="28"/>
        </w:rPr>
        <w:t>ной инспекцией Камчатского края</w:t>
      </w:r>
      <w:r w:rsidR="007B6C6B">
        <w:rPr>
          <w:rFonts w:ascii="Times New Roman" w:hAnsi="Times New Roman"/>
          <w:sz w:val="28"/>
        </w:rPr>
        <w:t xml:space="preserve"> (далее – Инспекция)</w:t>
      </w:r>
      <w:r w:rsidRPr="00071989">
        <w:rPr>
          <w:rFonts w:ascii="Times New Roman" w:hAnsi="Times New Roman"/>
          <w:sz w:val="28"/>
        </w:rPr>
        <w:t xml:space="preserve"> при осуществлении регионального государственного жилищного надзора на территории Камчатского края, устранения </w:t>
      </w:r>
      <w:r w:rsidR="00EA38BE" w:rsidRPr="00EA38BE">
        <w:rPr>
          <w:rFonts w:ascii="Times New Roman" w:hAnsi="Times New Roman"/>
          <w:sz w:val="28"/>
        </w:rPr>
        <w:t>условий, причин и факторов</w:t>
      </w:r>
      <w:r w:rsidRPr="00071989">
        <w:rPr>
          <w:rFonts w:ascii="Times New Roman" w:hAnsi="Times New Roman"/>
          <w:sz w:val="28"/>
        </w:rPr>
        <w:t>, способ</w:t>
      </w:r>
      <w:r w:rsidR="00EA38BE">
        <w:rPr>
          <w:rFonts w:ascii="Times New Roman" w:hAnsi="Times New Roman"/>
          <w:sz w:val="28"/>
        </w:rPr>
        <w:t xml:space="preserve">ных привести к </w:t>
      </w:r>
      <w:r w:rsidRPr="00071989">
        <w:rPr>
          <w:rFonts w:ascii="Times New Roman" w:hAnsi="Times New Roman"/>
          <w:sz w:val="28"/>
        </w:rPr>
        <w:t>на</w:t>
      </w:r>
      <w:r w:rsidR="00F26597">
        <w:rPr>
          <w:rFonts w:ascii="Times New Roman" w:hAnsi="Times New Roman"/>
          <w:sz w:val="28"/>
        </w:rPr>
        <w:t xml:space="preserve">рушению </w:t>
      </w:r>
      <w:r w:rsidR="00EA38BE" w:rsidRPr="00EA38BE">
        <w:rPr>
          <w:rFonts w:ascii="Times New Roman" w:hAnsi="Times New Roman"/>
          <w:sz w:val="28"/>
        </w:rPr>
        <w:t>требований и (или) причинению вреда (ущерба) охраняемым законом ценностям</w:t>
      </w:r>
      <w:r w:rsidR="00F26597">
        <w:rPr>
          <w:rFonts w:ascii="Times New Roman" w:hAnsi="Times New Roman"/>
          <w:sz w:val="28"/>
        </w:rPr>
        <w:t>,</w:t>
      </w:r>
    </w:p>
    <w:p w:rsidR="00071989" w:rsidRPr="007B6C6B" w:rsidRDefault="000719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EBF" w:rsidRDefault="00274D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ПРИКАЗЫВАЮ:</w:t>
      </w:r>
    </w:p>
    <w:p w:rsidR="00AD0EBF" w:rsidRPr="007B6C6B" w:rsidRDefault="00AD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989" w:rsidRDefault="00274D1D" w:rsidP="005E78C5">
      <w:pPr>
        <w:pStyle w:val="af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 w:rsidR="00071989" w:rsidRPr="00071989">
        <w:rPr>
          <w:rFonts w:ascii="Times New Roman" w:hAnsi="Times New Roman"/>
          <w:sz w:val="28"/>
        </w:rPr>
        <w:t>Програм</w:t>
      </w:r>
      <w:r w:rsidR="00071989">
        <w:rPr>
          <w:rFonts w:ascii="Times New Roman" w:hAnsi="Times New Roman"/>
          <w:sz w:val="28"/>
        </w:rPr>
        <w:t xml:space="preserve">му </w:t>
      </w:r>
      <w:r w:rsidR="006C1692" w:rsidRPr="006C1692">
        <w:rPr>
          <w:rFonts w:ascii="Times New Roman" w:hAnsi="Times New Roman"/>
          <w:sz w:val="28"/>
        </w:rPr>
        <w:t xml:space="preserve">профилактики рисков причинения вреда (ущерба) охраняемым законом ценностям при осуществлении государственного контроля (надзора) за соблюдением </w:t>
      </w:r>
      <w:r w:rsidR="005E78C5" w:rsidRPr="005E78C5">
        <w:rPr>
          <w:rFonts w:ascii="Times New Roman" w:hAnsi="Times New Roman"/>
          <w:sz w:val="28"/>
        </w:rPr>
        <w:t>некоммерческой организацией «Фонд капитального ремонта многоквартирных домов Камчатского края»</w:t>
      </w:r>
      <w:r w:rsidR="006C1692" w:rsidRPr="006C1692">
        <w:rPr>
          <w:rFonts w:ascii="Times New Roman" w:hAnsi="Times New Roman"/>
          <w:sz w:val="28"/>
        </w:rPr>
        <w:t xml:space="preserve">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на 202</w:t>
      </w:r>
      <w:r w:rsidR="00E70683">
        <w:rPr>
          <w:rFonts w:ascii="Times New Roman" w:hAnsi="Times New Roman"/>
          <w:sz w:val="28"/>
        </w:rPr>
        <w:t>5</w:t>
      </w:r>
      <w:r w:rsidR="006C1692" w:rsidRPr="006C1692">
        <w:rPr>
          <w:rFonts w:ascii="Times New Roman" w:hAnsi="Times New Roman"/>
          <w:sz w:val="28"/>
        </w:rPr>
        <w:t xml:space="preserve"> год</w:t>
      </w:r>
      <w:r w:rsidR="00071989">
        <w:rPr>
          <w:rFonts w:ascii="Times New Roman" w:hAnsi="Times New Roman"/>
          <w:sz w:val="28"/>
        </w:rPr>
        <w:t xml:space="preserve"> </w:t>
      </w:r>
      <w:r w:rsidR="007B6C6B">
        <w:rPr>
          <w:rFonts w:ascii="Times New Roman" w:hAnsi="Times New Roman"/>
          <w:sz w:val="28"/>
        </w:rPr>
        <w:t xml:space="preserve">(далее – Программа) </w:t>
      </w:r>
      <w:r w:rsidRPr="00071989">
        <w:rPr>
          <w:rFonts w:ascii="Times New Roman" w:hAnsi="Times New Roman"/>
          <w:sz w:val="28"/>
        </w:rPr>
        <w:t>согласно приложению к настоящему приказу.</w:t>
      </w:r>
    </w:p>
    <w:p w:rsidR="00071989" w:rsidRPr="00071989" w:rsidRDefault="00071989" w:rsidP="00071989">
      <w:pPr>
        <w:pStyle w:val="af6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71989">
        <w:rPr>
          <w:rFonts w:ascii="Times New Roman" w:hAnsi="Times New Roman"/>
          <w:sz w:val="28"/>
        </w:rPr>
        <w:t xml:space="preserve">Руководителям структурных подразделений </w:t>
      </w:r>
      <w:r w:rsidR="007B6C6B">
        <w:rPr>
          <w:rFonts w:ascii="Times New Roman" w:hAnsi="Times New Roman"/>
          <w:sz w:val="28"/>
        </w:rPr>
        <w:t xml:space="preserve">Инспекции </w:t>
      </w:r>
      <w:r w:rsidRPr="00071989">
        <w:rPr>
          <w:rFonts w:ascii="Times New Roman" w:hAnsi="Times New Roman"/>
          <w:sz w:val="28"/>
        </w:rPr>
        <w:t>обеспечить своевременное и полное выполнение Программ</w:t>
      </w:r>
      <w:r w:rsidR="000E393E">
        <w:rPr>
          <w:rFonts w:ascii="Times New Roman" w:hAnsi="Times New Roman"/>
          <w:sz w:val="28"/>
        </w:rPr>
        <w:t>ы</w:t>
      </w:r>
      <w:r w:rsidRPr="00071989">
        <w:rPr>
          <w:rFonts w:ascii="Times New Roman" w:hAnsi="Times New Roman"/>
          <w:sz w:val="28"/>
        </w:rPr>
        <w:t>.</w:t>
      </w:r>
    </w:p>
    <w:p w:rsidR="00AD0EBF" w:rsidRDefault="00274D1D" w:rsidP="000E393E">
      <w:pPr>
        <w:tabs>
          <w:tab w:val="left" w:pos="1134"/>
        </w:tabs>
        <w:spacing w:after="0" w:line="240" w:lineRule="auto"/>
        <w:ind w:left="708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E393E" w:rsidRPr="000E393E">
        <w:rPr>
          <w:rFonts w:ascii="Times New Roman" w:hAnsi="Times New Roman"/>
          <w:sz w:val="28"/>
        </w:rPr>
        <w:t>.</w:t>
      </w:r>
      <w:r w:rsidR="000E393E" w:rsidRPr="000E393E">
        <w:rPr>
          <w:rFonts w:ascii="Times New Roman" w:hAnsi="Times New Roman"/>
          <w:sz w:val="28"/>
        </w:rPr>
        <w:tab/>
        <w:t>Контроль за исполнением настоящего приказа оставляю за собой.</w:t>
      </w:r>
    </w:p>
    <w:p w:rsidR="000E393E" w:rsidRPr="007B6C6B" w:rsidRDefault="000E393E" w:rsidP="000E393E">
      <w:pPr>
        <w:spacing w:after="0" w:line="240" w:lineRule="auto"/>
        <w:ind w:left="708" w:firstLine="1"/>
        <w:jc w:val="both"/>
        <w:rPr>
          <w:rFonts w:ascii="Times New Roman" w:hAnsi="Times New Roman"/>
          <w:sz w:val="20"/>
        </w:rPr>
      </w:pPr>
    </w:p>
    <w:p w:rsidR="000E393E" w:rsidRPr="007B6C6B" w:rsidRDefault="000E393E" w:rsidP="000E393E">
      <w:pPr>
        <w:spacing w:after="0" w:line="240" w:lineRule="auto"/>
        <w:ind w:left="708" w:firstLine="1"/>
        <w:jc w:val="both"/>
        <w:rPr>
          <w:rFonts w:ascii="Times New Roman" w:hAnsi="Times New Roman"/>
          <w:sz w:val="20"/>
        </w:rPr>
      </w:pPr>
    </w:p>
    <w:p w:rsidR="00AD0EBF" w:rsidRPr="007B6C6B" w:rsidRDefault="00AD0EBF">
      <w:pPr>
        <w:spacing w:after="0" w:line="240" w:lineRule="auto"/>
        <w:ind w:left="708" w:firstLine="1"/>
        <w:jc w:val="both"/>
        <w:rPr>
          <w:rFonts w:ascii="Times New Roman" w:hAnsi="Times New Roman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4536"/>
        <w:gridCol w:w="1848"/>
      </w:tblGrid>
      <w:tr w:rsidR="00AD0EBF">
        <w:trPr>
          <w:trHeight w:val="665"/>
        </w:trPr>
        <w:tc>
          <w:tcPr>
            <w:tcW w:w="3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0EBF" w:rsidRDefault="00274D1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Инспекции –</w:t>
            </w:r>
          </w:p>
          <w:p w:rsidR="00AD0EBF" w:rsidRDefault="00274D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государственный</w:t>
            </w:r>
          </w:p>
          <w:p w:rsidR="00AD0EBF" w:rsidRDefault="00274D1D">
            <w:pPr>
              <w:spacing w:after="0" w:line="240" w:lineRule="auto"/>
              <w:ind w:left="4" w:hanging="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жилищный инспектор</w:t>
            </w:r>
          </w:p>
          <w:p w:rsidR="00AD0EBF" w:rsidRDefault="00274D1D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0EBF" w:rsidRPr="00E70683" w:rsidRDefault="00274D1D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 w:rsidRPr="00E70683"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</w:tc>
        <w:tc>
          <w:tcPr>
            <w:tcW w:w="1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D0EBF" w:rsidRDefault="00274D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О.В. Суколин</w:t>
            </w:r>
          </w:p>
        </w:tc>
      </w:tr>
    </w:tbl>
    <w:p w:rsidR="006C1692" w:rsidRDefault="006C1692" w:rsidP="007B6C6B">
      <w:pPr>
        <w:pStyle w:val="af9"/>
        <w:jc w:val="right"/>
        <w:rPr>
          <w:rFonts w:ascii="Times New Roman" w:hAnsi="Times New Roman"/>
          <w:sz w:val="28"/>
          <w:szCs w:val="28"/>
        </w:rPr>
      </w:pPr>
    </w:p>
    <w:p w:rsidR="006C1692" w:rsidRDefault="006C1692" w:rsidP="006C1692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0EBF" w:rsidRDefault="00274D1D" w:rsidP="007B6C6B">
      <w:pPr>
        <w:pStyle w:val="af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ение к приказу </w:t>
      </w:r>
    </w:p>
    <w:p w:rsidR="00AD0EBF" w:rsidRDefault="00274D1D">
      <w:pPr>
        <w:pStyle w:val="af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жилищной инспекции</w:t>
      </w:r>
    </w:p>
    <w:p w:rsidR="00AD0EBF" w:rsidRDefault="00274D1D">
      <w:pPr>
        <w:pStyle w:val="af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</w:p>
    <w:tbl>
      <w:tblPr>
        <w:tblStyle w:val="3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1552"/>
      </w:tblGrid>
      <w:tr w:rsidR="00EB053E" w:rsidRPr="00EB053E" w:rsidTr="008D1648">
        <w:tc>
          <w:tcPr>
            <w:tcW w:w="567" w:type="dxa"/>
          </w:tcPr>
          <w:p w:rsidR="00EB053E" w:rsidRPr="00EB053E" w:rsidRDefault="00EB053E" w:rsidP="008D1648">
            <w:pPr>
              <w:spacing w:after="60" w:line="259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053E">
              <w:rPr>
                <w:rFonts w:ascii="Times New Roman" w:hAnsi="Times New Roman"/>
                <w:color w:val="auto"/>
                <w:sz w:val="28"/>
                <w:szCs w:val="28"/>
              </w:rPr>
              <w:t>от</w:t>
            </w:r>
          </w:p>
        </w:tc>
        <w:tc>
          <w:tcPr>
            <w:tcW w:w="1701" w:type="dxa"/>
          </w:tcPr>
          <w:p w:rsidR="00EB053E" w:rsidRPr="00EB053E" w:rsidRDefault="00EB053E" w:rsidP="008D1648">
            <w:pPr>
              <w:spacing w:after="60" w:line="259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EB053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[</w:t>
            </w:r>
            <w:r w:rsidRPr="00EB053E">
              <w:rPr>
                <w:rFonts w:ascii="Times New Roman" w:hAnsi="Times New Roman"/>
                <w:color w:val="FFFFFF" w:themeColor="background1"/>
                <w:sz w:val="16"/>
                <w:szCs w:val="16"/>
                <w:lang w:val="en-US"/>
              </w:rPr>
              <w:t>REGDATESTAMP</w:t>
            </w:r>
            <w:r w:rsidRPr="00EB053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]</w:t>
            </w:r>
          </w:p>
        </w:tc>
        <w:tc>
          <w:tcPr>
            <w:tcW w:w="425" w:type="dxa"/>
          </w:tcPr>
          <w:p w:rsidR="00EB053E" w:rsidRPr="00EB053E" w:rsidRDefault="00EB053E" w:rsidP="008D1648">
            <w:pPr>
              <w:spacing w:after="60" w:line="259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053E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552" w:type="dxa"/>
          </w:tcPr>
          <w:p w:rsidR="00EB053E" w:rsidRPr="00EB053E" w:rsidRDefault="00EB053E" w:rsidP="008D1648">
            <w:pPr>
              <w:spacing w:after="60" w:line="259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B053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[REGNUMSTAMP]</w:t>
            </w:r>
          </w:p>
        </w:tc>
      </w:tr>
    </w:tbl>
    <w:p w:rsidR="000E393E" w:rsidRPr="000E393E" w:rsidRDefault="000E393E" w:rsidP="000E393E">
      <w:pPr>
        <w:widowControl w:val="0"/>
        <w:autoSpaceDE w:val="0"/>
        <w:autoSpaceDN w:val="0"/>
        <w:adjustRightInd w:val="0"/>
        <w:spacing w:before="375" w:after="0" w:line="240" w:lineRule="auto"/>
        <w:contextualSpacing/>
        <w:jc w:val="center"/>
        <w:textAlignment w:val="baseline"/>
        <w:outlineLvl w:val="2"/>
        <w:rPr>
          <w:rFonts w:ascii="Times New Roman" w:hAnsi="Times New Roman"/>
          <w:color w:val="auto"/>
          <w:spacing w:val="2"/>
          <w:sz w:val="28"/>
          <w:szCs w:val="28"/>
        </w:rPr>
      </w:pPr>
      <w:r w:rsidRPr="000E393E">
        <w:rPr>
          <w:rFonts w:ascii="Times New Roman" w:hAnsi="Times New Roman"/>
          <w:color w:val="auto"/>
          <w:spacing w:val="2"/>
          <w:sz w:val="28"/>
          <w:szCs w:val="28"/>
        </w:rPr>
        <w:t>Программа</w:t>
      </w:r>
    </w:p>
    <w:p w:rsidR="006C1692" w:rsidRDefault="006C1692" w:rsidP="000E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pacing w:val="2"/>
          <w:sz w:val="28"/>
          <w:szCs w:val="28"/>
        </w:rPr>
      </w:pPr>
      <w:r w:rsidRPr="006C1692">
        <w:rPr>
          <w:rFonts w:ascii="Times New Roman" w:hAnsi="Times New Roman"/>
          <w:color w:val="auto"/>
          <w:spacing w:val="2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государственного контроля (надзора) за соблюдением </w:t>
      </w:r>
      <w:r w:rsidR="005E78C5" w:rsidRPr="005E78C5">
        <w:rPr>
          <w:rFonts w:ascii="Times New Roman" w:hAnsi="Times New Roman"/>
          <w:color w:val="auto"/>
          <w:spacing w:val="2"/>
          <w:sz w:val="28"/>
          <w:szCs w:val="28"/>
        </w:rPr>
        <w:t>некоммерческой организацией «Фонд капитального ремонта многоквартирных домов Камчатского края»</w:t>
      </w:r>
      <w:r w:rsidRPr="006C1692">
        <w:rPr>
          <w:rFonts w:ascii="Times New Roman" w:hAnsi="Times New Roman"/>
          <w:color w:val="auto"/>
          <w:spacing w:val="2"/>
          <w:sz w:val="28"/>
          <w:szCs w:val="28"/>
        </w:rPr>
        <w:t xml:space="preserve">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</w:t>
      </w:r>
      <w:r w:rsidR="00E70683">
        <w:rPr>
          <w:rFonts w:ascii="Times New Roman" w:hAnsi="Times New Roman"/>
          <w:color w:val="auto"/>
          <w:spacing w:val="2"/>
          <w:sz w:val="28"/>
          <w:szCs w:val="28"/>
        </w:rPr>
        <w:t xml:space="preserve"> его формы собственности на 2025</w:t>
      </w:r>
      <w:r w:rsidRPr="006C1692">
        <w:rPr>
          <w:rFonts w:ascii="Times New Roman" w:hAnsi="Times New Roman"/>
          <w:color w:val="auto"/>
          <w:spacing w:val="2"/>
          <w:sz w:val="28"/>
          <w:szCs w:val="28"/>
        </w:rPr>
        <w:t xml:space="preserve"> год</w:t>
      </w:r>
    </w:p>
    <w:p w:rsidR="000E393E" w:rsidRPr="000E393E" w:rsidRDefault="000E393E" w:rsidP="000E3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color w:val="auto"/>
          <w:sz w:val="28"/>
          <w:szCs w:val="28"/>
          <w:lang w:eastAsia="ja-JP"/>
        </w:rPr>
      </w:pPr>
      <w:r w:rsidRPr="000E393E">
        <w:rPr>
          <w:rFonts w:ascii="Times New Roman" w:eastAsia="MS Mincho" w:hAnsi="Times New Roman"/>
          <w:color w:val="auto"/>
          <w:sz w:val="28"/>
          <w:szCs w:val="28"/>
          <w:lang w:eastAsia="ja-JP"/>
        </w:rPr>
        <w:t xml:space="preserve"> </w:t>
      </w: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804"/>
      </w:tblGrid>
      <w:tr w:rsidR="000E393E" w:rsidRPr="000E393E" w:rsidTr="000E393E">
        <w:trPr>
          <w:trHeight w:val="551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93E" w:rsidRPr="000E393E" w:rsidRDefault="006C1692" w:rsidP="006C1692">
            <w:pPr>
              <w:widowControl w:val="0"/>
              <w:tabs>
                <w:tab w:val="left" w:pos="885"/>
              </w:tabs>
              <w:autoSpaceDE w:val="0"/>
              <w:autoSpaceDN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Программа </w:t>
            </w:r>
            <w:r w:rsidRPr="006C1692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профилактики рисков причинения вреда (ущерба) охраняемым законом ценностям при осуществлении государственного контроля (надзора) за соблюдением </w:t>
            </w:r>
            <w:r w:rsidR="005E78C5" w:rsidRPr="005E78C5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некоммерческой организацией «Фонд капитального ремонта многоквартирных домов Камчатского края»</w:t>
            </w:r>
            <w:r w:rsidRPr="006C1692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</w:t>
            </w:r>
            <w:r w:rsidR="00E70683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 его формы собственности на 2025</w:t>
            </w:r>
            <w:r w:rsidRPr="006C1692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 год </w:t>
            </w:r>
            <w:r w:rsidR="000E393E"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(далее – Программа профилактики)</w:t>
            </w:r>
          </w:p>
        </w:tc>
      </w:tr>
      <w:tr w:rsidR="000E393E" w:rsidRPr="000E393E" w:rsidTr="005E78C5">
        <w:trPr>
          <w:trHeight w:val="6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93E" w:rsidRPr="000E393E" w:rsidRDefault="00887F1B" w:rsidP="000E393E">
            <w:pPr>
              <w:widowControl w:val="0"/>
              <w:autoSpaceDE w:val="0"/>
              <w:autoSpaceDN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П</w:t>
            </w:r>
            <w:r w:rsidR="000E393E"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C1692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, постановление</w:t>
            </w:r>
            <w:r w:rsidR="006C1692" w:rsidRPr="006C1692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 Правительства Российской Федерации от 28.09.2022 № 1702 «Об утверждении Правил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</w:t>
            </w:r>
            <w:r w:rsidR="006C1692" w:rsidRPr="006C1692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lastRenderedPageBreak/>
              <w:t>собственности»</w:t>
            </w:r>
            <w:r w:rsidR="00E2336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 (далее – Правила № 1702)</w:t>
            </w:r>
          </w:p>
        </w:tc>
      </w:tr>
      <w:tr w:rsidR="000E393E" w:rsidRPr="000E393E" w:rsidTr="000E393E">
        <w:trPr>
          <w:trHeight w:val="27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Разработчик Программы профилактики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ind w:left="144" w:right="141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Государственная жилищная инспекция Камчатского края (далее – Инспекция)</w:t>
            </w:r>
          </w:p>
        </w:tc>
      </w:tr>
      <w:tr w:rsidR="000E393E" w:rsidRPr="000E393E" w:rsidTr="000E393E">
        <w:trPr>
          <w:trHeight w:val="39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Цели Программы профилактики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38BE" w:rsidRPr="00EA38BE" w:rsidRDefault="00EA38BE" w:rsidP="005E78C5">
            <w:pPr>
              <w:pStyle w:val="af6"/>
              <w:widowControl w:val="0"/>
              <w:numPr>
                <w:ilvl w:val="0"/>
                <w:numId w:val="4"/>
              </w:numPr>
              <w:tabs>
                <w:tab w:val="left" w:pos="141"/>
                <w:tab w:val="left" w:pos="510"/>
              </w:tabs>
              <w:autoSpaceDE w:val="0"/>
              <w:autoSpaceDN w:val="0"/>
              <w:spacing w:after="0" w:line="240" w:lineRule="auto"/>
              <w:ind w:left="149" w:right="141" w:hanging="5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EA38B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Стимулирование добросовестного соблюдения </w:t>
            </w:r>
            <w:r w:rsidR="005E78C5" w:rsidRPr="005E78C5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некоммерческой организацией «Фонд капитального ремонта многоквартирных домов Камчатского края»</w:t>
            </w:r>
            <w:r w:rsidR="005E78C5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 (далее также – региональный оператор)</w:t>
            </w:r>
            <w:r w:rsidRPr="00EA38B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 требований.</w:t>
            </w:r>
          </w:p>
          <w:p w:rsidR="000E393E" w:rsidRDefault="00EA38BE" w:rsidP="00EA38BE">
            <w:pPr>
              <w:pStyle w:val="af6"/>
              <w:widowControl w:val="0"/>
              <w:numPr>
                <w:ilvl w:val="0"/>
                <w:numId w:val="4"/>
              </w:numPr>
              <w:tabs>
                <w:tab w:val="left" w:pos="141"/>
                <w:tab w:val="left" w:pos="525"/>
              </w:tabs>
              <w:autoSpaceDE w:val="0"/>
              <w:autoSpaceDN w:val="0"/>
              <w:spacing w:after="0" w:line="240" w:lineRule="auto"/>
              <w:ind w:left="149" w:right="141" w:hanging="5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У</w:t>
            </w:r>
            <w:r w:rsidRPr="00EA38B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странени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е</w:t>
            </w:r>
            <w:r w:rsidRPr="00EA38B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 условий, причин и факторов, способных привести к нарушению требований и (или) причинению вреда (ущерба) охраняемым законом ценностям</w:t>
            </w:r>
            <w:r w:rsidR="000E393E" w:rsidRPr="00EA38B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.</w:t>
            </w:r>
          </w:p>
          <w:p w:rsidR="000E393E" w:rsidRPr="00EA38BE" w:rsidRDefault="00EA38BE" w:rsidP="00EA38BE">
            <w:pPr>
              <w:pStyle w:val="af6"/>
              <w:widowControl w:val="0"/>
              <w:numPr>
                <w:ilvl w:val="0"/>
                <w:numId w:val="4"/>
              </w:numPr>
              <w:tabs>
                <w:tab w:val="left" w:pos="141"/>
                <w:tab w:val="left" w:pos="574"/>
              </w:tabs>
              <w:autoSpaceDE w:val="0"/>
              <w:autoSpaceDN w:val="0"/>
              <w:spacing w:after="0" w:line="240" w:lineRule="auto"/>
              <w:ind w:left="149" w:right="141" w:hanging="5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С</w:t>
            </w:r>
            <w:r w:rsidRPr="00EA38B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оздани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е</w:t>
            </w:r>
            <w:r w:rsidRPr="00EA38B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 условий для доведения требований до региональных операторов и повышения информированности о способах их соблюдения при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осуществлении контроля (надзора).</w:t>
            </w:r>
          </w:p>
        </w:tc>
      </w:tr>
      <w:tr w:rsidR="000E393E" w:rsidRPr="000E393E" w:rsidTr="000E393E">
        <w:trPr>
          <w:trHeight w:val="39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Задачи Программы профилактики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Выявление </w:t>
            </w:r>
            <w:r w:rsidR="00EA38BE" w:rsidRPr="00EA38BE">
              <w:rPr>
                <w:rFonts w:ascii="Times New Roman" w:hAnsi="Times New Roman"/>
                <w:color w:val="auto"/>
                <w:sz w:val="28"/>
                <w:szCs w:val="28"/>
              </w:rPr>
              <w:t>условий, причин и факторов</w:t>
            </w:r>
            <w:r w:rsidR="00EA38BE">
              <w:rPr>
                <w:rFonts w:ascii="Times New Roman" w:hAnsi="Times New Roman"/>
                <w:color w:val="auto"/>
                <w:sz w:val="28"/>
                <w:szCs w:val="28"/>
              </w:rPr>
              <w:t>, способных привести к</w:t>
            </w:r>
            <w:r w:rsidRPr="000E393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нарушению требований </w:t>
            </w:r>
            <w:r w:rsidR="00EA38BE">
              <w:rPr>
                <w:rFonts w:ascii="Times New Roman" w:hAnsi="Times New Roman"/>
                <w:color w:val="auto"/>
                <w:sz w:val="28"/>
                <w:szCs w:val="28"/>
              </w:rPr>
              <w:t>и (или) причинению вреда (ущерба) охраняемым законом ценностям</w:t>
            </w:r>
            <w:r w:rsidRPr="000E393E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0E393E" w:rsidRPr="000E393E" w:rsidRDefault="00EA38BE" w:rsidP="005E78C5">
            <w:pPr>
              <w:widowControl w:val="0"/>
              <w:tabs>
                <w:tab w:val="left" w:pos="149"/>
                <w:tab w:val="left" w:pos="387"/>
              </w:tabs>
              <w:autoSpaceDE w:val="0"/>
              <w:autoSpaceDN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2</w:t>
            </w:r>
            <w:r w:rsidR="000E393E"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 xml:space="preserve"> Информиров</w:t>
            </w:r>
            <w:r w:rsidR="000E393E"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ание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, консультирование контролируемых лиц</w:t>
            </w:r>
            <w:r w:rsidR="000E393E"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, в том числе с использованием современных информационно-телекоммуникационных технологий.</w:t>
            </w:r>
          </w:p>
          <w:p w:rsidR="000E393E" w:rsidRPr="000E393E" w:rsidRDefault="00EA38BE" w:rsidP="000E393E">
            <w:pPr>
              <w:widowControl w:val="0"/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MS Mincho" w:hAnsi="Times New Roman"/>
                <w:color w:val="auto"/>
                <w:sz w:val="28"/>
                <w:szCs w:val="28"/>
                <w:lang w:eastAsia="en-US"/>
              </w:rPr>
              <w:t>3. Повышение уровня ответственности регионального оператора за соблюдением требований законодательства</w:t>
            </w:r>
            <w:r w:rsidR="001E68D9">
              <w:rPr>
                <w:rFonts w:ascii="Times New Roman" w:eastAsia="MS Mincho" w:hAnsi="Times New Roman"/>
                <w:color w:val="auto"/>
                <w:sz w:val="28"/>
                <w:szCs w:val="28"/>
                <w:lang w:eastAsia="en-US"/>
              </w:rPr>
              <w:t xml:space="preserve"> в области контроля (надзора).</w:t>
            </w:r>
          </w:p>
        </w:tc>
      </w:tr>
      <w:tr w:rsidR="000E393E" w:rsidRPr="000E393E" w:rsidTr="000E393E">
        <w:trPr>
          <w:trHeight w:val="693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ind w:left="107" w:right="1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Сроки и этапы реализации Программы профилактики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93E" w:rsidRPr="000E393E" w:rsidRDefault="00E70683" w:rsidP="000E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>2025</w:t>
            </w:r>
            <w:r w:rsidR="000E393E" w:rsidRPr="000E393E"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  <w:t xml:space="preserve"> год</w:t>
            </w:r>
          </w:p>
          <w:p w:rsidR="000E393E" w:rsidRPr="000E393E" w:rsidRDefault="000E393E" w:rsidP="000E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E393E" w:rsidRPr="000E393E" w:rsidTr="000E393E">
        <w:trPr>
          <w:trHeight w:val="41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Источники финансирования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1"/>
              <w:jc w:val="both"/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</w:pPr>
            <w:r w:rsidRPr="000E393E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Реализация Программы профилактики осуществляется Инспекцией за счет средств бюджета Камчатского края, выделяемых на обеспечение ее деятельности, привлечение иных кадровых, материальных и финансовых ресурсов не требуется.</w:t>
            </w:r>
          </w:p>
        </w:tc>
      </w:tr>
      <w:tr w:rsidR="000E393E" w:rsidRPr="000E393E" w:rsidTr="000E393E">
        <w:trPr>
          <w:trHeight w:val="41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</w:rPr>
              <w:t>1. Снижение рисков причинения вреда охраняемым законом ценностям.</w:t>
            </w:r>
          </w:p>
          <w:p w:rsidR="000E393E" w:rsidRDefault="001E68D9" w:rsidP="001E68D9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</w:t>
            </w:r>
            <w:r w:rsidR="000E393E" w:rsidRPr="000E393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Мотивация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регионального оператора</w:t>
            </w:r>
            <w:r w:rsidR="000E393E" w:rsidRPr="000E393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осуществлению контроля качества и сроков оказания услуг и (или) выполнения работ подрядными организациями и соответствия таких услуг и (или)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работ проектной документации при проведении работ по капитальному ремонту общего имущества многоквартирных домов.</w:t>
            </w:r>
          </w:p>
          <w:p w:rsidR="001E68D9" w:rsidRDefault="001E68D9" w:rsidP="001E68D9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3. Повышение качества услуг и работ </w:t>
            </w:r>
            <w:r w:rsidRPr="001E68D9">
              <w:rPr>
                <w:rFonts w:ascii="Times New Roman" w:hAnsi="Times New Roman"/>
                <w:color w:val="auto"/>
                <w:sz w:val="28"/>
                <w:szCs w:val="28"/>
              </w:rPr>
              <w:t>по капитальному ремонту общего имущества многоквартирных домов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1E68D9" w:rsidRPr="000E393E" w:rsidRDefault="001E68D9" w:rsidP="001E68D9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4. Повышение уровня информированности регионального оператора о требованиях, установленных жилищным законодательством, </w:t>
            </w:r>
            <w:r w:rsidRPr="001E68D9">
              <w:rPr>
                <w:rFonts w:ascii="Times New Roman" w:hAnsi="Times New Roman"/>
                <w:color w:val="auto"/>
                <w:sz w:val="28"/>
                <w:szCs w:val="28"/>
              </w:rPr>
              <w:t>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0E393E" w:rsidRPr="000E393E" w:rsidTr="000E393E">
        <w:trPr>
          <w:trHeight w:val="41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Структура</w:t>
            </w:r>
          </w:p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Программы</w:t>
            </w:r>
          </w:p>
          <w:p w:rsidR="000E393E" w:rsidRPr="000E393E" w:rsidRDefault="000E393E" w:rsidP="000E393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  <w:lang w:eastAsia="en-US" w:bidi="ru-RU"/>
              </w:rPr>
              <w:t>профилактики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E393E" w:rsidRPr="000E393E" w:rsidRDefault="000E393E" w:rsidP="000E393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9" w:after="0" w:line="240" w:lineRule="auto"/>
              <w:ind w:left="144" w:right="141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E393E"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="00412C72" w:rsidRPr="00412C72">
              <w:rPr>
                <w:rFonts w:ascii="Times New Roman" w:hAnsi="Times New Roman"/>
                <w:sz w:val="28"/>
                <w:szCs w:val="28"/>
                <w:lang w:eastAsia="ja-JP"/>
              </w:rPr>
              <w:t>Анализ текущего состояния осуществления государственного контроля (надзора) за соблюдением региональным оператором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собственности, описание текущего развития профилактической деятельности Инспекции, характеристика проблем, на решение которых направлена Программа профилактики</w:t>
            </w:r>
            <w:r w:rsidRPr="000E393E">
              <w:rPr>
                <w:rFonts w:ascii="Times New Roman" w:hAnsi="Times New Roman"/>
                <w:sz w:val="28"/>
                <w:szCs w:val="28"/>
                <w:lang w:eastAsia="ja-JP"/>
              </w:rPr>
              <w:t>.</w:t>
            </w:r>
          </w:p>
          <w:p w:rsidR="000E393E" w:rsidRPr="000E393E" w:rsidRDefault="000E393E" w:rsidP="000E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393E">
              <w:rPr>
                <w:rFonts w:ascii="Times New Roman" w:hAnsi="Times New Roman"/>
                <w:sz w:val="28"/>
                <w:szCs w:val="28"/>
              </w:rPr>
              <w:t xml:space="preserve">Раздел 2. Цели и задачи реализации Программы </w:t>
            </w:r>
            <w:r w:rsidRPr="000E393E">
              <w:rPr>
                <w:rFonts w:ascii="Times New Roman" w:hAnsi="Times New Roman"/>
                <w:color w:val="auto"/>
                <w:sz w:val="28"/>
                <w:szCs w:val="28"/>
              </w:rPr>
              <w:t>профилактики.</w:t>
            </w:r>
          </w:p>
          <w:p w:rsidR="000E393E" w:rsidRPr="000E393E" w:rsidRDefault="000E393E" w:rsidP="000E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</w:rPr>
              <w:t>Раздел 3. Перечень профилактических мероприятий, сроки (периодичность) их проведения.</w:t>
            </w:r>
          </w:p>
          <w:p w:rsidR="000E393E" w:rsidRPr="000E393E" w:rsidRDefault="000E393E" w:rsidP="000E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393E">
              <w:rPr>
                <w:rFonts w:ascii="Times New Roman" w:hAnsi="Times New Roman"/>
                <w:color w:val="auto"/>
                <w:sz w:val="28"/>
                <w:szCs w:val="28"/>
              </w:rPr>
              <w:t>Раздел 4. Показатели результативности и эффективности Программы профилактики.</w:t>
            </w:r>
          </w:p>
        </w:tc>
      </w:tr>
    </w:tbl>
    <w:p w:rsidR="000E393E" w:rsidRPr="000E393E" w:rsidRDefault="000E393E" w:rsidP="000E393E">
      <w:pPr>
        <w:keepNext/>
        <w:keepLines/>
        <w:widowControl w:val="0"/>
        <w:autoSpaceDE w:val="0"/>
        <w:autoSpaceDN w:val="0"/>
        <w:adjustRightInd w:val="0"/>
        <w:spacing w:before="129" w:after="0" w:line="240" w:lineRule="auto"/>
        <w:ind w:firstLine="567"/>
        <w:jc w:val="center"/>
        <w:outlineLvl w:val="2"/>
        <w:rPr>
          <w:rFonts w:ascii="Times New Roman" w:hAnsi="Times New Roman"/>
          <w:sz w:val="28"/>
          <w:szCs w:val="28"/>
          <w:lang w:eastAsia="ja-JP"/>
        </w:rPr>
      </w:pPr>
      <w:r w:rsidRPr="000E393E">
        <w:rPr>
          <w:rFonts w:ascii="Times New Roman" w:hAnsi="Times New Roman"/>
          <w:sz w:val="28"/>
          <w:szCs w:val="28"/>
          <w:lang w:eastAsia="ja-JP"/>
        </w:rPr>
        <w:t xml:space="preserve">Раздел 1. Анализ текущего состояния осуществления </w:t>
      </w:r>
      <w:r w:rsidR="001E68D9" w:rsidRPr="001E68D9">
        <w:rPr>
          <w:rFonts w:ascii="Times New Roman" w:hAnsi="Times New Roman"/>
          <w:sz w:val="28"/>
          <w:szCs w:val="28"/>
          <w:lang w:eastAsia="ja-JP"/>
        </w:rPr>
        <w:t>государственного контроля (надзора) за соблюдением региональным оператором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  <w:r w:rsidRPr="000E393E">
        <w:rPr>
          <w:rFonts w:ascii="Times New Roman" w:hAnsi="Times New Roman"/>
          <w:sz w:val="28"/>
          <w:szCs w:val="28"/>
          <w:lang w:eastAsia="ja-JP"/>
        </w:rPr>
        <w:t>, описание текущего развития профилактической деятельности Инспекции, характеристика проблем, на решение которых направлена Программа профилактики</w:t>
      </w:r>
    </w:p>
    <w:p w:rsidR="000E393E" w:rsidRPr="000E393E" w:rsidRDefault="000E393E" w:rsidP="000E3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auto"/>
          <w:sz w:val="20"/>
          <w:lang w:eastAsia="ja-JP"/>
        </w:rPr>
      </w:pPr>
    </w:p>
    <w:p w:rsidR="00412C72" w:rsidRPr="000E393E" w:rsidRDefault="00F8197F" w:rsidP="00212C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>
        <w:rPr>
          <w:rFonts w:ascii="Times New Roman" w:hAnsi="Times New Roman"/>
          <w:color w:val="auto"/>
          <w:sz w:val="28"/>
          <w:szCs w:val="28"/>
          <w:lang w:eastAsia="x-none"/>
        </w:rPr>
        <w:t>И</w:t>
      </w:r>
      <w:r w:rsidR="000E393E" w:rsidRPr="000E393E">
        <w:rPr>
          <w:rFonts w:ascii="Times New Roman" w:hAnsi="Times New Roman"/>
          <w:color w:val="auto"/>
          <w:sz w:val="28"/>
          <w:szCs w:val="28"/>
          <w:lang w:eastAsia="x-none"/>
        </w:rPr>
        <w:t xml:space="preserve">нспекция является исполнительным органом Камчатского края, </w:t>
      </w:r>
      <w:r w:rsidR="00412C72">
        <w:rPr>
          <w:rFonts w:ascii="Times New Roman" w:hAnsi="Times New Roman"/>
          <w:color w:val="auto"/>
          <w:sz w:val="28"/>
          <w:szCs w:val="28"/>
          <w:lang w:eastAsia="x-none"/>
        </w:rPr>
        <w:t xml:space="preserve">осуществляющим </w:t>
      </w:r>
      <w:r w:rsidR="00412C72" w:rsidRPr="00412C72">
        <w:rPr>
          <w:rFonts w:ascii="Times New Roman" w:hAnsi="Times New Roman"/>
          <w:color w:val="auto"/>
          <w:sz w:val="28"/>
          <w:szCs w:val="28"/>
          <w:lang w:eastAsia="x-none"/>
        </w:rPr>
        <w:t>го</w:t>
      </w:r>
      <w:r w:rsidR="00412C72">
        <w:rPr>
          <w:rFonts w:ascii="Times New Roman" w:hAnsi="Times New Roman"/>
          <w:color w:val="auto"/>
          <w:sz w:val="28"/>
          <w:szCs w:val="28"/>
          <w:lang w:eastAsia="x-none"/>
        </w:rPr>
        <w:t xml:space="preserve">сударственный контроль </w:t>
      </w:r>
      <w:r w:rsidR="00412C72" w:rsidRPr="00412C72">
        <w:rPr>
          <w:rFonts w:ascii="Times New Roman" w:hAnsi="Times New Roman"/>
          <w:color w:val="auto"/>
          <w:sz w:val="28"/>
          <w:szCs w:val="28"/>
          <w:lang w:eastAsia="x-none"/>
        </w:rPr>
        <w:t>(надзор) на территории Камчатского к</w:t>
      </w:r>
      <w:r w:rsidR="00412C72">
        <w:rPr>
          <w:rFonts w:ascii="Times New Roman" w:hAnsi="Times New Roman"/>
          <w:color w:val="auto"/>
          <w:sz w:val="28"/>
          <w:szCs w:val="28"/>
          <w:lang w:eastAsia="x-none"/>
        </w:rPr>
        <w:t xml:space="preserve">рая за соблюдением </w:t>
      </w:r>
      <w:r w:rsidR="00212C1E">
        <w:rPr>
          <w:rFonts w:ascii="Times New Roman" w:hAnsi="Times New Roman"/>
          <w:color w:val="auto"/>
          <w:sz w:val="28"/>
          <w:szCs w:val="28"/>
          <w:lang w:eastAsia="x-none"/>
        </w:rPr>
        <w:t>региональным оператором</w:t>
      </w:r>
      <w:r w:rsidR="00412C72" w:rsidRPr="00412C72">
        <w:rPr>
          <w:rFonts w:ascii="Times New Roman" w:hAnsi="Times New Roman"/>
          <w:color w:val="auto"/>
          <w:sz w:val="28"/>
          <w:szCs w:val="28"/>
          <w:lang w:eastAsia="x-none"/>
        </w:rPr>
        <w:t xml:space="preserve"> требований, установленных жилищным законодательством, законодательством</w:t>
      </w:r>
      <w:r w:rsidR="00412C72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  <w:r w:rsidR="00412C72" w:rsidRPr="00412C72">
        <w:rPr>
          <w:rFonts w:ascii="Times New Roman" w:hAnsi="Times New Roman"/>
          <w:color w:val="auto"/>
          <w:sz w:val="28"/>
          <w:szCs w:val="28"/>
          <w:lang w:eastAsia="x-none"/>
        </w:rPr>
        <w:t>об энергосбережении и о повышении</w:t>
      </w:r>
      <w:r w:rsidR="00212C1E">
        <w:rPr>
          <w:rFonts w:ascii="Times New Roman" w:hAnsi="Times New Roman"/>
          <w:color w:val="auto"/>
          <w:sz w:val="28"/>
          <w:szCs w:val="28"/>
          <w:lang w:eastAsia="x-none"/>
        </w:rPr>
        <w:t xml:space="preserve"> энергетической эффективности, </w:t>
      </w:r>
      <w:r w:rsidR="00212C1E" w:rsidRPr="00212C1E">
        <w:rPr>
          <w:rFonts w:ascii="Times New Roman" w:hAnsi="Times New Roman"/>
          <w:color w:val="auto"/>
          <w:sz w:val="28"/>
          <w:szCs w:val="28"/>
          <w:lang w:eastAsia="x-none"/>
        </w:rPr>
        <w:t xml:space="preserve">к </w:t>
      </w:r>
      <w:r w:rsidR="00212C1E" w:rsidRPr="00212C1E">
        <w:rPr>
          <w:rFonts w:ascii="Times New Roman" w:hAnsi="Times New Roman"/>
          <w:color w:val="auto"/>
          <w:sz w:val="28"/>
          <w:szCs w:val="28"/>
          <w:lang w:eastAsia="x-none"/>
        </w:rPr>
        <w:lastRenderedPageBreak/>
        <w:t>использованию и сохранности жилищного фонда независимо от его формы собственности</w:t>
      </w:r>
      <w:r w:rsidR="00212C1E">
        <w:rPr>
          <w:rFonts w:ascii="Times New Roman" w:hAnsi="Times New Roman"/>
          <w:color w:val="auto"/>
          <w:sz w:val="28"/>
          <w:szCs w:val="28"/>
          <w:lang w:eastAsia="x-none"/>
        </w:rPr>
        <w:t xml:space="preserve"> (далее – контроль (надзор).</w:t>
      </w:r>
    </w:p>
    <w:p w:rsidR="00212C1E" w:rsidRDefault="00212C1E" w:rsidP="000E3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>
        <w:rPr>
          <w:rFonts w:ascii="Times New Roman" w:hAnsi="Times New Roman"/>
          <w:color w:val="auto"/>
          <w:sz w:val="28"/>
          <w:szCs w:val="28"/>
          <w:lang w:eastAsia="x-none"/>
        </w:rPr>
        <w:t xml:space="preserve">В соответствии с Законом Камчатского края </w:t>
      </w:r>
      <w:r w:rsidRPr="00212C1E">
        <w:rPr>
          <w:rFonts w:ascii="Times New Roman" w:hAnsi="Times New Roman"/>
          <w:color w:val="auto"/>
          <w:sz w:val="28"/>
          <w:szCs w:val="28"/>
          <w:lang w:eastAsia="x-none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  <w:lang w:eastAsia="x-none"/>
        </w:rPr>
        <w:t>0</w:t>
      </w:r>
      <w:r w:rsidRPr="00212C1E">
        <w:rPr>
          <w:rFonts w:ascii="Times New Roman" w:hAnsi="Times New Roman"/>
          <w:color w:val="auto"/>
          <w:sz w:val="28"/>
          <w:szCs w:val="28"/>
          <w:lang w:eastAsia="x-none"/>
        </w:rPr>
        <w:t>2</w:t>
      </w:r>
      <w:r>
        <w:rPr>
          <w:rFonts w:ascii="Times New Roman" w:hAnsi="Times New Roman"/>
          <w:color w:val="auto"/>
          <w:sz w:val="28"/>
          <w:szCs w:val="28"/>
          <w:lang w:eastAsia="x-none"/>
        </w:rPr>
        <w:t>.12.2013</w:t>
      </w:r>
      <w:r w:rsidRPr="00212C1E">
        <w:rPr>
          <w:rFonts w:ascii="Times New Roman" w:hAnsi="Times New Roman"/>
          <w:color w:val="auto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x-none"/>
        </w:rPr>
        <w:t>№</w:t>
      </w:r>
      <w:r w:rsidRPr="00212C1E">
        <w:rPr>
          <w:rFonts w:ascii="Times New Roman" w:hAnsi="Times New Roman"/>
          <w:color w:val="auto"/>
          <w:sz w:val="28"/>
          <w:szCs w:val="28"/>
          <w:lang w:eastAsia="x-none"/>
        </w:rPr>
        <w:t xml:space="preserve"> 359 </w:t>
      </w:r>
      <w:r>
        <w:rPr>
          <w:rFonts w:ascii="Times New Roman" w:hAnsi="Times New Roman"/>
          <w:color w:val="auto"/>
          <w:sz w:val="28"/>
          <w:szCs w:val="28"/>
          <w:lang w:eastAsia="x-none"/>
        </w:rPr>
        <w:t>«</w:t>
      </w:r>
      <w:r w:rsidRPr="00212C1E">
        <w:rPr>
          <w:rFonts w:ascii="Times New Roman" w:hAnsi="Times New Roman"/>
          <w:color w:val="auto"/>
          <w:sz w:val="28"/>
          <w:szCs w:val="28"/>
          <w:lang w:eastAsia="x-none"/>
        </w:rPr>
        <w:t>Об организации проведения капитального ремонта общего имущества в многоквартирных домах в Камчатском крае</w:t>
      </w:r>
      <w:r>
        <w:rPr>
          <w:rFonts w:ascii="Times New Roman" w:hAnsi="Times New Roman"/>
          <w:color w:val="auto"/>
          <w:sz w:val="28"/>
          <w:szCs w:val="28"/>
          <w:lang w:eastAsia="x-none"/>
        </w:rPr>
        <w:t xml:space="preserve">» </w:t>
      </w:r>
      <w:r w:rsidR="00E04704">
        <w:rPr>
          <w:rFonts w:ascii="Times New Roman" w:hAnsi="Times New Roman"/>
          <w:color w:val="auto"/>
          <w:sz w:val="28"/>
          <w:szCs w:val="28"/>
          <w:lang w:eastAsia="x-none"/>
        </w:rPr>
        <w:t>р</w:t>
      </w:r>
      <w:r w:rsidR="00E04704" w:rsidRPr="00E04704">
        <w:rPr>
          <w:rFonts w:ascii="Times New Roman" w:hAnsi="Times New Roman"/>
          <w:color w:val="auto"/>
          <w:sz w:val="28"/>
          <w:szCs w:val="28"/>
          <w:lang w:eastAsia="x-none"/>
        </w:rPr>
        <w:t>егиональный оператор является юридическим лицом, созданным Камчатским краем в организационно-правовой форме фонда.</w:t>
      </w:r>
      <w:r w:rsidR="00E04704">
        <w:rPr>
          <w:rFonts w:ascii="Times New Roman" w:hAnsi="Times New Roman"/>
          <w:color w:val="auto"/>
          <w:sz w:val="28"/>
          <w:szCs w:val="28"/>
          <w:lang w:eastAsia="x-none"/>
        </w:rPr>
        <w:t xml:space="preserve"> На территории Камчатского края региональным оператором является </w:t>
      </w:r>
      <w:r w:rsidR="00E04704" w:rsidRPr="00E04704">
        <w:rPr>
          <w:rFonts w:ascii="Times New Roman" w:hAnsi="Times New Roman"/>
          <w:color w:val="auto"/>
          <w:sz w:val="28"/>
          <w:szCs w:val="28"/>
          <w:lang w:eastAsia="x-none"/>
        </w:rPr>
        <w:t>некоммерческ</w:t>
      </w:r>
      <w:r w:rsidR="00E04704">
        <w:rPr>
          <w:rFonts w:ascii="Times New Roman" w:hAnsi="Times New Roman"/>
          <w:color w:val="auto"/>
          <w:sz w:val="28"/>
          <w:szCs w:val="28"/>
          <w:lang w:eastAsia="x-none"/>
        </w:rPr>
        <w:t>ая</w:t>
      </w:r>
      <w:r w:rsidR="00E04704" w:rsidRPr="00E04704">
        <w:rPr>
          <w:rFonts w:ascii="Times New Roman" w:hAnsi="Times New Roman"/>
          <w:color w:val="auto"/>
          <w:sz w:val="28"/>
          <w:szCs w:val="28"/>
          <w:lang w:eastAsia="x-none"/>
        </w:rPr>
        <w:t xml:space="preserve"> организаци</w:t>
      </w:r>
      <w:r w:rsidR="00E04704">
        <w:rPr>
          <w:rFonts w:ascii="Times New Roman" w:hAnsi="Times New Roman"/>
          <w:color w:val="auto"/>
          <w:sz w:val="28"/>
          <w:szCs w:val="28"/>
          <w:lang w:eastAsia="x-none"/>
        </w:rPr>
        <w:t>я «</w:t>
      </w:r>
      <w:r w:rsidR="00E04704" w:rsidRPr="00E04704">
        <w:rPr>
          <w:rFonts w:ascii="Times New Roman" w:hAnsi="Times New Roman"/>
          <w:color w:val="auto"/>
          <w:sz w:val="28"/>
          <w:szCs w:val="28"/>
          <w:lang w:eastAsia="x-none"/>
        </w:rPr>
        <w:t>Фонд капитального ремонта многоквартирных д</w:t>
      </w:r>
      <w:r w:rsidR="00E04704">
        <w:rPr>
          <w:rFonts w:ascii="Times New Roman" w:hAnsi="Times New Roman"/>
          <w:color w:val="auto"/>
          <w:sz w:val="28"/>
          <w:szCs w:val="28"/>
          <w:lang w:eastAsia="x-none"/>
        </w:rPr>
        <w:t>омов Камчатского края».</w:t>
      </w:r>
    </w:p>
    <w:p w:rsidR="00527509" w:rsidRPr="00527509" w:rsidRDefault="00527509" w:rsidP="00527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527509">
        <w:rPr>
          <w:rFonts w:ascii="Times New Roman" w:hAnsi="Times New Roman"/>
          <w:color w:val="auto"/>
          <w:sz w:val="28"/>
          <w:szCs w:val="28"/>
          <w:lang w:eastAsia="x-none"/>
        </w:rPr>
        <w:t>В течение IV квартала 2024 года Инспекцией в отношении регионального оператора не проводились проверки. За 9 месяцев 2024 года проведено 6 проверок.</w:t>
      </w:r>
    </w:p>
    <w:p w:rsidR="00527509" w:rsidRPr="00527509" w:rsidRDefault="00527509" w:rsidP="00527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527509">
        <w:rPr>
          <w:rFonts w:ascii="Times New Roman" w:hAnsi="Times New Roman"/>
          <w:color w:val="auto"/>
          <w:sz w:val="28"/>
          <w:szCs w:val="28"/>
          <w:lang w:eastAsia="x-none"/>
        </w:rPr>
        <w:t>В 2023 году Инспекция объявила 2 предостережения о недопустимости нарушения требований.</w:t>
      </w:r>
    </w:p>
    <w:p w:rsidR="00527509" w:rsidRPr="00527509" w:rsidRDefault="00527509" w:rsidP="00527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527509">
        <w:rPr>
          <w:rFonts w:ascii="Times New Roman" w:hAnsi="Times New Roman"/>
          <w:color w:val="auto"/>
          <w:sz w:val="28"/>
          <w:szCs w:val="28"/>
          <w:lang w:eastAsia="x-none"/>
        </w:rPr>
        <w:t>По результатам выявленных нарушений за 9 месяцев 2024 года региональному оператору Инспекцией выдано 1 предписание об устранении выявленных нарушений.</w:t>
      </w:r>
    </w:p>
    <w:p w:rsidR="00527509" w:rsidRPr="00527509" w:rsidRDefault="00527509" w:rsidP="00527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527509">
        <w:rPr>
          <w:rFonts w:ascii="Times New Roman" w:hAnsi="Times New Roman"/>
          <w:color w:val="auto"/>
          <w:sz w:val="28"/>
          <w:szCs w:val="28"/>
          <w:lang w:eastAsia="x-none"/>
        </w:rPr>
        <w:t>В течение 2023–2024 годов региональный оператор привлекался к административной ответственности по ст. 19.7 КоАП РФ (один протокол в 2024 году).</w:t>
      </w:r>
    </w:p>
    <w:p w:rsidR="00527509" w:rsidRDefault="00527509" w:rsidP="00527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x-none"/>
        </w:rPr>
      </w:pPr>
      <w:r w:rsidRPr="00527509">
        <w:rPr>
          <w:rFonts w:ascii="Times New Roman" w:hAnsi="Times New Roman"/>
          <w:color w:val="auto"/>
          <w:sz w:val="28"/>
          <w:szCs w:val="28"/>
          <w:lang w:eastAsia="x-none"/>
        </w:rPr>
        <w:t>В 2024 году проведение плановых контрольных (надзорных) мероприятий не планировалось.</w:t>
      </w:r>
    </w:p>
    <w:p w:rsidR="00E04704" w:rsidRPr="000E393E" w:rsidRDefault="00E04704" w:rsidP="004F7F46">
      <w:pPr>
        <w:widowControl w:val="0"/>
        <w:autoSpaceDE w:val="0"/>
        <w:autoSpaceDN w:val="0"/>
        <w:adjustRightInd w:val="0"/>
        <w:spacing w:after="0" w:line="240" w:lineRule="auto"/>
        <w:ind w:right="467"/>
        <w:jc w:val="both"/>
        <w:rPr>
          <w:rFonts w:ascii="Times New Roman" w:eastAsia="MS Mincho" w:hAnsi="Times New Roman"/>
          <w:color w:val="auto"/>
          <w:sz w:val="28"/>
          <w:szCs w:val="28"/>
          <w:lang w:eastAsia="ja-JP"/>
        </w:rPr>
      </w:pPr>
    </w:p>
    <w:p w:rsidR="000E393E" w:rsidRPr="000E393E" w:rsidRDefault="000E393E" w:rsidP="000E393E">
      <w:pPr>
        <w:keepNext/>
        <w:keepLines/>
        <w:widowControl w:val="0"/>
        <w:autoSpaceDE w:val="0"/>
        <w:autoSpaceDN w:val="0"/>
        <w:adjustRightInd w:val="0"/>
        <w:spacing w:before="1"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ja-JP"/>
        </w:rPr>
      </w:pPr>
      <w:r w:rsidRPr="000E393E">
        <w:rPr>
          <w:rFonts w:ascii="Times New Roman" w:hAnsi="Times New Roman"/>
          <w:sz w:val="28"/>
          <w:szCs w:val="28"/>
          <w:lang w:eastAsia="ja-JP"/>
        </w:rPr>
        <w:t>Раздел 2. Цели и задачи реализации Программы профилактики</w:t>
      </w:r>
    </w:p>
    <w:p w:rsidR="000E393E" w:rsidRPr="000E393E" w:rsidRDefault="000E393E" w:rsidP="000E393E">
      <w:pPr>
        <w:keepNext/>
        <w:keepLines/>
        <w:widowControl w:val="0"/>
        <w:autoSpaceDE w:val="0"/>
        <w:autoSpaceDN w:val="0"/>
        <w:adjustRightInd w:val="0"/>
        <w:spacing w:before="1" w:after="0" w:line="240" w:lineRule="auto"/>
        <w:ind w:firstLine="567"/>
        <w:outlineLvl w:val="2"/>
        <w:rPr>
          <w:rFonts w:ascii="Calibri Light" w:hAnsi="Calibri Light"/>
          <w:color w:val="1F4D78"/>
          <w:sz w:val="28"/>
          <w:szCs w:val="28"/>
          <w:lang w:eastAsia="ja-JP"/>
        </w:rPr>
      </w:pPr>
    </w:p>
    <w:p w:rsidR="000E393E" w:rsidRPr="000E393E" w:rsidRDefault="000E393E" w:rsidP="000E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393E">
        <w:rPr>
          <w:rFonts w:ascii="Times New Roman" w:hAnsi="Times New Roman"/>
          <w:color w:val="auto"/>
          <w:sz w:val="28"/>
          <w:szCs w:val="28"/>
        </w:rPr>
        <w:t>Целями проведения профилактических мероприятий являются:</w:t>
      </w:r>
    </w:p>
    <w:p w:rsidR="008E0548" w:rsidRPr="008E0548" w:rsidRDefault="008E0548" w:rsidP="008E0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>1) с</w:t>
      </w:r>
      <w:r w:rsidRPr="008E0548">
        <w:rPr>
          <w:rFonts w:ascii="Times New Roman" w:hAnsi="Times New Roman"/>
          <w:color w:val="auto"/>
          <w:sz w:val="28"/>
          <w:szCs w:val="28"/>
          <w:lang w:bidi="ru-RU"/>
        </w:rPr>
        <w:t>тимулирование добросовестного соблюдения рег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иональным оператором требований;</w:t>
      </w:r>
    </w:p>
    <w:p w:rsidR="008E0548" w:rsidRPr="008E0548" w:rsidRDefault="008E0548" w:rsidP="008E0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>2) у</w:t>
      </w:r>
      <w:r w:rsidRPr="008E0548">
        <w:rPr>
          <w:rFonts w:ascii="Times New Roman" w:hAnsi="Times New Roman"/>
          <w:color w:val="auto"/>
          <w:sz w:val="28"/>
          <w:szCs w:val="28"/>
          <w:lang w:bidi="ru-RU"/>
        </w:rPr>
        <w:t>странение условий, причин и факторов, способных привести к нарушению требований и (или) причинению вреда (ущерб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а) охраняемым законом ценностям;</w:t>
      </w:r>
    </w:p>
    <w:p w:rsidR="008E0548" w:rsidRDefault="008E0548" w:rsidP="008E0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>3) с</w:t>
      </w:r>
      <w:r w:rsidRPr="008E0548">
        <w:rPr>
          <w:rFonts w:ascii="Times New Roman" w:hAnsi="Times New Roman"/>
          <w:color w:val="auto"/>
          <w:sz w:val="28"/>
          <w:szCs w:val="28"/>
          <w:lang w:bidi="ru-RU"/>
        </w:rPr>
        <w:t>оздание условий для доведения требований до региональных операторов и повышения информированности о способах их соблюдения при осуществлении контроля (надзора).</w:t>
      </w:r>
    </w:p>
    <w:p w:rsidR="000E393E" w:rsidRPr="000E393E" w:rsidRDefault="000E393E" w:rsidP="008E0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393E">
        <w:rPr>
          <w:rFonts w:ascii="Times New Roman" w:hAnsi="Times New Roman"/>
          <w:color w:val="auto"/>
          <w:sz w:val="28"/>
          <w:szCs w:val="28"/>
        </w:rPr>
        <w:t>Проведение Инспекцией профилактических мероприятий направлено на решение следующих задач:</w:t>
      </w:r>
    </w:p>
    <w:p w:rsidR="008E0548" w:rsidRPr="008E0548" w:rsidRDefault="008E0548" w:rsidP="008E0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</w:t>
      </w:r>
      <w:r w:rsidRPr="008E0548">
        <w:rPr>
          <w:rFonts w:ascii="Times New Roman" w:hAnsi="Times New Roman"/>
          <w:color w:val="auto"/>
          <w:sz w:val="28"/>
          <w:szCs w:val="28"/>
        </w:rPr>
        <w:t>ыявление условий, причин и факторов, способных привести к нарушению требований и (или) причинению вреда (ущерб</w:t>
      </w:r>
      <w:r>
        <w:rPr>
          <w:rFonts w:ascii="Times New Roman" w:hAnsi="Times New Roman"/>
          <w:color w:val="auto"/>
          <w:sz w:val="28"/>
          <w:szCs w:val="28"/>
        </w:rPr>
        <w:t>а) охраняемым законом ценностям;</w:t>
      </w:r>
    </w:p>
    <w:p w:rsidR="008E0548" w:rsidRPr="008E0548" w:rsidRDefault="008E0548" w:rsidP="008E0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и</w:t>
      </w:r>
      <w:r w:rsidRPr="008E0548">
        <w:rPr>
          <w:rFonts w:ascii="Times New Roman" w:hAnsi="Times New Roman"/>
          <w:color w:val="auto"/>
          <w:sz w:val="28"/>
          <w:szCs w:val="28"/>
        </w:rPr>
        <w:t>нформирование, консультирование контролируемых лиц, в том числе с использованием современных информационно-</w:t>
      </w:r>
      <w:r>
        <w:rPr>
          <w:rFonts w:ascii="Times New Roman" w:hAnsi="Times New Roman"/>
          <w:color w:val="auto"/>
          <w:sz w:val="28"/>
          <w:szCs w:val="28"/>
        </w:rPr>
        <w:t>телекоммуникационных технологий;</w:t>
      </w:r>
    </w:p>
    <w:p w:rsidR="000E393E" w:rsidRPr="000E393E" w:rsidRDefault="008E0548" w:rsidP="008E0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</w:t>
      </w:r>
      <w:r w:rsidRPr="008E0548">
        <w:rPr>
          <w:rFonts w:ascii="Times New Roman" w:hAnsi="Times New Roman"/>
          <w:color w:val="auto"/>
          <w:sz w:val="28"/>
          <w:szCs w:val="28"/>
        </w:rPr>
        <w:t>овышение уровня ответственности регионального оператора за соблюдением требований законодательства в области контроля (надзора).</w:t>
      </w:r>
    </w:p>
    <w:p w:rsidR="000E393E" w:rsidRPr="000E393E" w:rsidRDefault="000E393E" w:rsidP="000E393E">
      <w:pPr>
        <w:keepNext/>
        <w:keepLines/>
        <w:widowControl w:val="0"/>
        <w:tabs>
          <w:tab w:val="left" w:pos="1276"/>
        </w:tabs>
        <w:autoSpaceDE w:val="0"/>
        <w:autoSpaceDN w:val="0"/>
        <w:adjustRightInd w:val="0"/>
        <w:spacing w:before="1"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ja-JP"/>
        </w:rPr>
      </w:pPr>
      <w:r w:rsidRPr="000E393E">
        <w:rPr>
          <w:rFonts w:ascii="Times New Roman" w:hAnsi="Times New Roman"/>
          <w:sz w:val="28"/>
          <w:szCs w:val="28"/>
          <w:lang w:eastAsia="ja-JP"/>
        </w:rPr>
        <w:lastRenderedPageBreak/>
        <w:t>Раздел 3. Перечень профилактических мероприятий, сроки (периодичность) их проведения</w:t>
      </w:r>
    </w:p>
    <w:p w:rsidR="000E393E" w:rsidRPr="000E393E" w:rsidRDefault="000E393E" w:rsidP="000E393E">
      <w:pPr>
        <w:autoSpaceDE w:val="0"/>
        <w:autoSpaceDN w:val="0"/>
        <w:adjustRightInd w:val="0"/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0E393E" w:rsidRPr="000E393E" w:rsidRDefault="000E393E" w:rsidP="000E3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auto"/>
          <w:sz w:val="28"/>
          <w:szCs w:val="28"/>
          <w:lang w:eastAsia="ja-JP"/>
        </w:rPr>
      </w:pPr>
      <w:r w:rsidRPr="000E393E">
        <w:rPr>
          <w:rFonts w:ascii="Times New Roman" w:eastAsia="MS Mincho" w:hAnsi="Times New Roman"/>
          <w:color w:val="auto"/>
          <w:sz w:val="28"/>
          <w:szCs w:val="28"/>
          <w:lang w:eastAsia="ja-JP"/>
        </w:rPr>
        <w:t xml:space="preserve">Перечень профилактических мероприятий определяется в соответствии с </w:t>
      </w:r>
      <w:r w:rsidR="00E2336E" w:rsidRPr="00E2336E">
        <w:rPr>
          <w:rFonts w:ascii="Times New Roman" w:eastAsia="MS Mincho" w:hAnsi="Times New Roman"/>
          <w:color w:val="auto"/>
          <w:sz w:val="28"/>
          <w:szCs w:val="28"/>
          <w:lang w:eastAsia="ja-JP"/>
        </w:rPr>
        <w:t>Правила</w:t>
      </w:r>
      <w:r w:rsidR="00E2336E">
        <w:rPr>
          <w:rFonts w:ascii="Times New Roman" w:eastAsia="MS Mincho" w:hAnsi="Times New Roman"/>
          <w:color w:val="auto"/>
          <w:sz w:val="28"/>
          <w:szCs w:val="28"/>
          <w:lang w:eastAsia="ja-JP"/>
        </w:rPr>
        <w:t>ми</w:t>
      </w:r>
      <w:r w:rsidR="00E2336E" w:rsidRPr="00E2336E">
        <w:rPr>
          <w:rFonts w:ascii="Times New Roman" w:eastAsia="MS Mincho" w:hAnsi="Times New Roman"/>
          <w:color w:val="auto"/>
          <w:sz w:val="28"/>
          <w:szCs w:val="28"/>
          <w:lang w:eastAsia="ja-JP"/>
        </w:rPr>
        <w:t xml:space="preserve"> № 1702</w:t>
      </w:r>
      <w:r w:rsidRPr="000E393E">
        <w:rPr>
          <w:rFonts w:ascii="Times New Roman" w:eastAsia="MS Mincho" w:hAnsi="Times New Roman"/>
          <w:color w:val="auto"/>
          <w:sz w:val="28"/>
          <w:szCs w:val="28"/>
          <w:lang w:eastAsia="ja-JP"/>
        </w:rPr>
        <w:t xml:space="preserve"> </w:t>
      </w:r>
      <w:r w:rsidR="00E2336E">
        <w:rPr>
          <w:rFonts w:ascii="Times New Roman" w:eastAsia="MS Mincho" w:hAnsi="Times New Roman"/>
          <w:color w:val="auto"/>
          <w:sz w:val="28"/>
          <w:szCs w:val="28"/>
          <w:lang w:eastAsia="ja-JP"/>
        </w:rPr>
        <w:t xml:space="preserve">и </w:t>
      </w:r>
      <w:r w:rsidRPr="000E393E">
        <w:rPr>
          <w:rFonts w:ascii="Times New Roman" w:eastAsia="MS Mincho" w:hAnsi="Times New Roman"/>
          <w:color w:val="auto"/>
          <w:sz w:val="28"/>
          <w:szCs w:val="28"/>
          <w:lang w:eastAsia="ja-JP"/>
        </w:rPr>
        <w:t>включает в себя:</w:t>
      </w:r>
    </w:p>
    <w:p w:rsidR="00E2336E" w:rsidRPr="00E2336E" w:rsidRDefault="000E393E" w:rsidP="00E233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E393E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E2336E" w:rsidRPr="00E2336E">
        <w:rPr>
          <w:rFonts w:ascii="Times New Roman" w:hAnsi="Times New Roman"/>
          <w:color w:val="auto"/>
          <w:sz w:val="28"/>
          <w:szCs w:val="28"/>
        </w:rPr>
        <w:t>обобщение правоприменительной практики;</w:t>
      </w:r>
    </w:p>
    <w:p w:rsidR="00E2336E" w:rsidRPr="00E2336E" w:rsidRDefault="00E2336E" w:rsidP="00E233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E2336E">
        <w:rPr>
          <w:rFonts w:ascii="Times New Roman" w:hAnsi="Times New Roman"/>
          <w:color w:val="auto"/>
          <w:sz w:val="28"/>
          <w:szCs w:val="28"/>
        </w:rPr>
        <w:t xml:space="preserve">) объявление предостережения о недопустимости нарушения требований (далее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E2336E">
        <w:rPr>
          <w:rFonts w:ascii="Times New Roman" w:hAnsi="Times New Roman"/>
          <w:color w:val="auto"/>
          <w:sz w:val="28"/>
          <w:szCs w:val="28"/>
        </w:rPr>
        <w:t xml:space="preserve"> предостережение);</w:t>
      </w:r>
    </w:p>
    <w:p w:rsidR="00E2336E" w:rsidRDefault="00E2336E" w:rsidP="00F635EF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E2336E">
        <w:rPr>
          <w:rFonts w:ascii="Times New Roman" w:hAnsi="Times New Roman"/>
          <w:color w:val="auto"/>
          <w:sz w:val="28"/>
          <w:szCs w:val="28"/>
        </w:rPr>
        <w:t>) профилактический визит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0E393E" w:rsidRPr="000E393E" w:rsidRDefault="000E393E" w:rsidP="000E393E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0E393E" w:rsidRPr="000E393E" w:rsidRDefault="000E393E" w:rsidP="000E393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0E393E">
        <w:rPr>
          <w:rFonts w:ascii="Times New Roman" w:hAnsi="Times New Roman"/>
          <w:color w:val="auto"/>
          <w:sz w:val="28"/>
          <w:szCs w:val="28"/>
        </w:rPr>
        <w:t xml:space="preserve">3.1. </w:t>
      </w:r>
      <w:r w:rsidR="00C85EE8" w:rsidRPr="00C85EE8">
        <w:rPr>
          <w:rFonts w:ascii="Times New Roman" w:hAnsi="Times New Roman"/>
          <w:color w:val="auto"/>
          <w:sz w:val="28"/>
          <w:szCs w:val="28"/>
        </w:rPr>
        <w:t>Обобщение правоприменительной практики</w:t>
      </w:r>
    </w:p>
    <w:p w:rsidR="000E393E" w:rsidRPr="000E393E" w:rsidRDefault="000E393E" w:rsidP="000E393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85EE8" w:rsidRPr="00C85EE8" w:rsidRDefault="00C85EE8" w:rsidP="00C85EE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EE8">
        <w:rPr>
          <w:rFonts w:ascii="Times New Roman" w:hAnsi="Times New Roman"/>
          <w:sz w:val="28"/>
          <w:szCs w:val="28"/>
        </w:rPr>
        <w:t xml:space="preserve">Обобщение правоприменительной практики осуществляется ежегодно путем сбора и анализа данных о проведенных контрольных (надзорных) мероприятиях и их результатах, а также анализа обращений, поступивших в </w:t>
      </w:r>
      <w:r>
        <w:rPr>
          <w:rFonts w:ascii="Times New Roman" w:hAnsi="Times New Roman"/>
          <w:sz w:val="28"/>
          <w:szCs w:val="28"/>
        </w:rPr>
        <w:t>Инспекцию</w:t>
      </w:r>
      <w:r w:rsidRPr="00C85EE8">
        <w:rPr>
          <w:rFonts w:ascii="Times New Roman" w:hAnsi="Times New Roman"/>
          <w:sz w:val="28"/>
          <w:szCs w:val="28"/>
        </w:rPr>
        <w:t>.</w:t>
      </w:r>
    </w:p>
    <w:p w:rsidR="00C85EE8" w:rsidRPr="00C85EE8" w:rsidRDefault="00C85EE8" w:rsidP="00C85EE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EE8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готовится проект доклада, содержащего результаты обобщения правоприменительной практики органа государственного жилищного надзора (далее </w:t>
      </w:r>
      <w:r>
        <w:rPr>
          <w:rFonts w:ascii="Times New Roman" w:hAnsi="Times New Roman"/>
          <w:sz w:val="28"/>
          <w:szCs w:val="28"/>
        </w:rPr>
        <w:t>–</w:t>
      </w:r>
      <w:r w:rsidRPr="00C85EE8">
        <w:rPr>
          <w:rFonts w:ascii="Times New Roman" w:hAnsi="Times New Roman"/>
          <w:sz w:val="28"/>
          <w:szCs w:val="28"/>
        </w:rPr>
        <w:t xml:space="preserve"> доклад о правоприменительной практике), который в обязательном порядке проходит публичные обсуждения.</w:t>
      </w:r>
    </w:p>
    <w:p w:rsidR="00C85EE8" w:rsidRPr="00C85EE8" w:rsidRDefault="00C85EE8" w:rsidP="00C85EE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EE8">
        <w:rPr>
          <w:rFonts w:ascii="Times New Roman" w:hAnsi="Times New Roman"/>
          <w:sz w:val="28"/>
          <w:szCs w:val="28"/>
        </w:rPr>
        <w:t xml:space="preserve">Доклад о правоприменительной практике направляется </w:t>
      </w:r>
      <w:r>
        <w:rPr>
          <w:rFonts w:ascii="Times New Roman" w:hAnsi="Times New Roman"/>
          <w:sz w:val="28"/>
          <w:szCs w:val="28"/>
        </w:rPr>
        <w:t>Инспекцией</w:t>
      </w:r>
      <w:r w:rsidRPr="00C85EE8">
        <w:rPr>
          <w:rFonts w:ascii="Times New Roman" w:hAnsi="Times New Roman"/>
          <w:sz w:val="28"/>
          <w:szCs w:val="28"/>
        </w:rPr>
        <w:t xml:space="preserve">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в течение 2 рабочих дней со дня его размещения на официальном сайте </w:t>
      </w:r>
      <w:r>
        <w:rPr>
          <w:rFonts w:ascii="Times New Roman" w:hAnsi="Times New Roman"/>
          <w:sz w:val="28"/>
          <w:szCs w:val="28"/>
        </w:rPr>
        <w:t>Инспекции</w:t>
      </w:r>
      <w:r w:rsidRPr="00C85EE8">
        <w:rPr>
          <w:rFonts w:ascii="Times New Roman" w:hAnsi="Times New Roman"/>
          <w:sz w:val="28"/>
          <w:szCs w:val="28"/>
        </w:rPr>
        <w:t>.</w:t>
      </w:r>
    </w:p>
    <w:p w:rsidR="000E393E" w:rsidRDefault="00C85EE8" w:rsidP="00C85EE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EE8">
        <w:rPr>
          <w:rFonts w:ascii="Times New Roman" w:hAnsi="Times New Roman"/>
          <w:sz w:val="28"/>
          <w:szCs w:val="28"/>
        </w:rP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до 25 апреля года, следующего за отчетным годом, готовит ежегодный доклад о состоянии контроля (надзора), содержащий результаты обобщения правоприменительной практики по осуществлению контроля (надзора) в Российской Федерации, и размещает его на своем официальном сайте в сети </w:t>
      </w:r>
      <w:r w:rsidR="00F635EF">
        <w:rPr>
          <w:rFonts w:ascii="Times New Roman" w:hAnsi="Times New Roman"/>
          <w:sz w:val="28"/>
          <w:szCs w:val="28"/>
        </w:rPr>
        <w:t>«</w:t>
      </w:r>
      <w:r w:rsidRPr="00C85EE8">
        <w:rPr>
          <w:rFonts w:ascii="Times New Roman" w:hAnsi="Times New Roman"/>
          <w:sz w:val="28"/>
          <w:szCs w:val="28"/>
        </w:rPr>
        <w:t>Интернет</w:t>
      </w:r>
      <w:r w:rsidR="00F635EF">
        <w:rPr>
          <w:rFonts w:ascii="Times New Roman" w:hAnsi="Times New Roman"/>
          <w:sz w:val="28"/>
          <w:szCs w:val="28"/>
        </w:rPr>
        <w:t>»</w:t>
      </w:r>
      <w:r w:rsidRPr="00C85EE8">
        <w:rPr>
          <w:rFonts w:ascii="Times New Roman" w:hAnsi="Times New Roman"/>
          <w:sz w:val="28"/>
          <w:szCs w:val="28"/>
        </w:rPr>
        <w:t>.</w:t>
      </w:r>
    </w:p>
    <w:p w:rsidR="00F635EF" w:rsidRDefault="00F635EF" w:rsidP="00C85EE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93E" w:rsidRDefault="000E393E" w:rsidP="000E393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0E393E">
        <w:rPr>
          <w:rFonts w:ascii="Times New Roman" w:hAnsi="Times New Roman"/>
          <w:color w:val="auto"/>
          <w:sz w:val="28"/>
          <w:szCs w:val="28"/>
        </w:rPr>
        <w:t>Объявление предостережения</w:t>
      </w:r>
    </w:p>
    <w:p w:rsidR="00F635EF" w:rsidRDefault="00F635EF" w:rsidP="00F63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F635EF" w:rsidRPr="00F635EF" w:rsidRDefault="00F635EF" w:rsidP="00F63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5EF">
        <w:rPr>
          <w:rFonts w:ascii="Times New Roman" w:hAnsi="Times New Roman"/>
          <w:color w:val="auto"/>
          <w:sz w:val="28"/>
          <w:szCs w:val="28"/>
        </w:rPr>
        <w:t xml:space="preserve">При наличии у </w:t>
      </w:r>
      <w:r>
        <w:rPr>
          <w:rFonts w:ascii="Times New Roman" w:hAnsi="Times New Roman"/>
          <w:color w:val="auto"/>
          <w:sz w:val="28"/>
          <w:szCs w:val="28"/>
        </w:rPr>
        <w:t>Инспекции</w:t>
      </w:r>
      <w:r w:rsidRPr="00F635EF">
        <w:rPr>
          <w:rFonts w:ascii="Times New Roman" w:hAnsi="Times New Roman"/>
          <w:color w:val="auto"/>
          <w:sz w:val="28"/>
          <w:szCs w:val="28"/>
        </w:rPr>
        <w:t xml:space="preserve"> сведений о готовящемся нарушении требований или признаках нарушения требований </w:t>
      </w:r>
      <w:r>
        <w:rPr>
          <w:rFonts w:ascii="Times New Roman" w:hAnsi="Times New Roman"/>
          <w:color w:val="auto"/>
          <w:sz w:val="28"/>
          <w:szCs w:val="28"/>
        </w:rPr>
        <w:t>Инспекция</w:t>
      </w:r>
      <w:r w:rsidRPr="00F635EF">
        <w:rPr>
          <w:rFonts w:ascii="Times New Roman" w:hAnsi="Times New Roman"/>
          <w:color w:val="auto"/>
          <w:sz w:val="28"/>
          <w:szCs w:val="28"/>
        </w:rPr>
        <w:t xml:space="preserve"> объявляет региональному оператору предостережение и предлагает ему принять меры по обеспечению соблюдения требований.</w:t>
      </w:r>
    </w:p>
    <w:p w:rsidR="00F635EF" w:rsidRPr="00F635EF" w:rsidRDefault="00F635EF" w:rsidP="00F63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5EF">
        <w:rPr>
          <w:rFonts w:ascii="Times New Roman" w:hAnsi="Times New Roman"/>
          <w:color w:val="auto"/>
          <w:sz w:val="28"/>
          <w:szCs w:val="28"/>
        </w:rPr>
        <w:t xml:space="preserve">Региональный оператор в течение 10 рабочих дней со дня получения предостережения вправе подать в </w:t>
      </w:r>
      <w:r>
        <w:rPr>
          <w:rFonts w:ascii="Times New Roman" w:hAnsi="Times New Roman"/>
          <w:color w:val="auto"/>
          <w:sz w:val="28"/>
          <w:szCs w:val="28"/>
        </w:rPr>
        <w:t>Инспекцию</w:t>
      </w:r>
      <w:r w:rsidRPr="00F635EF">
        <w:rPr>
          <w:rFonts w:ascii="Times New Roman" w:hAnsi="Times New Roman"/>
          <w:color w:val="auto"/>
          <w:sz w:val="28"/>
          <w:szCs w:val="28"/>
        </w:rPr>
        <w:t xml:space="preserve"> возражение в отношении указанного предостережения, в котором указываются:</w:t>
      </w:r>
    </w:p>
    <w:p w:rsidR="00F635EF" w:rsidRPr="00F635EF" w:rsidRDefault="00F635EF" w:rsidP="00F63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5EF">
        <w:rPr>
          <w:rFonts w:ascii="Times New Roman" w:hAnsi="Times New Roman"/>
          <w:color w:val="auto"/>
          <w:sz w:val="28"/>
          <w:szCs w:val="28"/>
        </w:rPr>
        <w:t>наименование регионального оператора;</w:t>
      </w:r>
    </w:p>
    <w:p w:rsidR="00F635EF" w:rsidRPr="00F635EF" w:rsidRDefault="00F635EF" w:rsidP="00F63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5EF">
        <w:rPr>
          <w:rFonts w:ascii="Times New Roman" w:hAnsi="Times New Roman"/>
          <w:color w:val="auto"/>
          <w:sz w:val="28"/>
          <w:szCs w:val="28"/>
        </w:rPr>
        <w:lastRenderedPageBreak/>
        <w:t xml:space="preserve">идентификационный номер налогоплательщика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F635EF">
        <w:rPr>
          <w:rFonts w:ascii="Times New Roman" w:hAnsi="Times New Roman"/>
          <w:color w:val="auto"/>
          <w:sz w:val="28"/>
          <w:szCs w:val="28"/>
        </w:rPr>
        <w:t xml:space="preserve"> регионального оператора;</w:t>
      </w:r>
    </w:p>
    <w:p w:rsidR="00F635EF" w:rsidRPr="00F635EF" w:rsidRDefault="00F635EF" w:rsidP="00F63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5EF">
        <w:rPr>
          <w:rFonts w:ascii="Times New Roman" w:hAnsi="Times New Roman"/>
          <w:color w:val="auto"/>
          <w:sz w:val="28"/>
          <w:szCs w:val="28"/>
        </w:rPr>
        <w:t>дата и номер предостережения, направленного региональному оператору;</w:t>
      </w:r>
    </w:p>
    <w:p w:rsidR="00F635EF" w:rsidRPr="00F635EF" w:rsidRDefault="00F635EF" w:rsidP="00F63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5EF">
        <w:rPr>
          <w:rFonts w:ascii="Times New Roman" w:hAnsi="Times New Roman"/>
          <w:color w:val="auto"/>
          <w:sz w:val="28"/>
          <w:szCs w:val="28"/>
        </w:rPr>
        <w:t>обоснование позиции регионального оператора в отношении его действий (бездействия), которые указаны в предостережении и которые приводят или могут привести к нарушению требований.</w:t>
      </w:r>
    </w:p>
    <w:p w:rsidR="00F635EF" w:rsidRPr="00F635EF" w:rsidRDefault="00F635EF" w:rsidP="00F63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5EF">
        <w:rPr>
          <w:rFonts w:ascii="Times New Roman" w:hAnsi="Times New Roman"/>
          <w:color w:val="auto"/>
          <w:sz w:val="28"/>
          <w:szCs w:val="28"/>
        </w:rPr>
        <w:t>Возражение в отношении предостережения может быть подано региональным оператором на бумажном носителе почтовым отправлением, в виде электронного документа на адрес электронной почты, указанный в предостережении, или иными указанными в предостережении способами.</w:t>
      </w:r>
    </w:p>
    <w:p w:rsidR="00F635EF" w:rsidRPr="00F635EF" w:rsidRDefault="00F635EF" w:rsidP="00F63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Инспекция</w:t>
      </w:r>
      <w:r w:rsidRPr="00F635EF">
        <w:rPr>
          <w:rFonts w:ascii="Times New Roman" w:hAnsi="Times New Roman"/>
          <w:color w:val="auto"/>
          <w:sz w:val="28"/>
          <w:szCs w:val="28"/>
        </w:rPr>
        <w:t xml:space="preserve"> по итогам рассмотрения возражения в отношении предостережения направляет ответ региональному оператору в течение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F635EF">
        <w:rPr>
          <w:rFonts w:ascii="Times New Roman" w:hAnsi="Times New Roman"/>
          <w:color w:val="auto"/>
          <w:sz w:val="28"/>
          <w:szCs w:val="28"/>
        </w:rPr>
        <w:t>15 рабочих дней со дня получения такого возражения.</w:t>
      </w:r>
    </w:p>
    <w:p w:rsidR="00F635EF" w:rsidRDefault="00F635EF" w:rsidP="00F63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635EF">
        <w:rPr>
          <w:rFonts w:ascii="Times New Roman" w:hAnsi="Times New Roman"/>
          <w:color w:val="auto"/>
          <w:sz w:val="28"/>
          <w:szCs w:val="28"/>
        </w:rPr>
        <w:t>В случае удовлетворения возражения в отношении предостережения по итогам его рассмотрения данные такого предостережения не используются для проведения иных профилактических мероприятий и контрольных (надзорных) мероприятий.</w:t>
      </w:r>
    </w:p>
    <w:p w:rsidR="00F635EF" w:rsidRDefault="00F635EF" w:rsidP="00F63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E393E" w:rsidRPr="00F635EF" w:rsidRDefault="000E393E" w:rsidP="00F635EF">
      <w:pPr>
        <w:pStyle w:val="af6"/>
        <w:widowControl w:val="0"/>
        <w:numPr>
          <w:ilvl w:val="1"/>
          <w:numId w:val="3"/>
        </w:num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635EF">
        <w:rPr>
          <w:rFonts w:ascii="Times New Roman" w:hAnsi="Times New Roman"/>
          <w:color w:val="auto"/>
          <w:sz w:val="28"/>
          <w:szCs w:val="28"/>
        </w:rPr>
        <w:t>Профилактический визит</w:t>
      </w:r>
    </w:p>
    <w:p w:rsidR="000E393E" w:rsidRPr="000E393E" w:rsidRDefault="000E393E" w:rsidP="00F635EF">
      <w:pPr>
        <w:shd w:val="clear" w:color="auto" w:fill="FFFFFF"/>
        <w:tabs>
          <w:tab w:val="left" w:pos="142"/>
        </w:tabs>
        <w:spacing w:after="0" w:line="240" w:lineRule="auto"/>
        <w:ind w:left="142" w:firstLine="567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635EF" w:rsidRPr="00F635EF" w:rsidRDefault="00F635EF" w:rsidP="00F635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635EF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Профилактический визит проводится в форме профилактической беседы по месту нахождения (осуществления деятельности) регионального оператора либо путем использования видео-конференц-связи.</w:t>
      </w:r>
    </w:p>
    <w:p w:rsidR="00F635EF" w:rsidRPr="00F635EF" w:rsidRDefault="00F635EF" w:rsidP="00F635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635EF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Срок проведения профилактического визита составляет один рабочий день.</w:t>
      </w:r>
    </w:p>
    <w:p w:rsidR="00F635EF" w:rsidRPr="00F635EF" w:rsidRDefault="00F635EF" w:rsidP="00F635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635EF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ходе профилактического визита региональный оператор информируется о требованиях, предъявляемых к его деятельности, а также о видах, содержании и периодичности контрольных (надзорных) мероприятий, проводимых в отношении объекта контроля (надзора).</w:t>
      </w:r>
    </w:p>
    <w:p w:rsidR="00F635EF" w:rsidRPr="00F635EF" w:rsidRDefault="00F635EF" w:rsidP="00F635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635EF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проведении профилактического визита региональному оператору не могут выдаваться предписания об устранении нарушений требований. Разъяснения, полученные региональным оператором в ходе профилактического визита, носят рекомендательный характер.</w:t>
      </w:r>
    </w:p>
    <w:p w:rsidR="00F635EF" w:rsidRPr="00F635EF" w:rsidRDefault="00F635EF" w:rsidP="00F635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635E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случае если при проведении профилактического визита установлено, что объекты контроля (надзора)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 w:rsidR="004F7380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Инспекции</w:t>
      </w:r>
      <w:r w:rsidRPr="00F635E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незамедлительно направляет информацию об этом </w:t>
      </w:r>
      <w:r w:rsidR="004F7380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руководителю Инспекции и (или) его заместителям, уполномоченным</w:t>
      </w:r>
      <w:r w:rsidRPr="00F635E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0E393E" w:rsidRDefault="00F635EF" w:rsidP="00F635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635E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 результатам проведенного профилактического визита должностным лицом </w:t>
      </w:r>
      <w:r w:rsidR="004F7380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Инспекции</w:t>
      </w:r>
      <w:r w:rsidRPr="00F635EF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составляется отчет, который направляется должностному лицу </w:t>
      </w:r>
      <w:r w:rsidR="004F7380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Инспекции</w:t>
      </w:r>
      <w:r w:rsidRPr="00F635EF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принявшему решение о его проведении.</w:t>
      </w:r>
    </w:p>
    <w:p w:rsidR="004F7380" w:rsidRDefault="004F7380" w:rsidP="00F635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4"/>
        <w:gridCol w:w="2520"/>
        <w:gridCol w:w="4252"/>
        <w:gridCol w:w="2261"/>
      </w:tblGrid>
      <w:tr w:rsidR="006A4024" w:rsidRPr="006A4024" w:rsidTr="001910F0">
        <w:tc>
          <w:tcPr>
            <w:tcW w:w="594" w:type="dxa"/>
          </w:tcPr>
          <w:p w:rsidR="004F7380" w:rsidRPr="006A4024" w:rsidRDefault="004F7380" w:rsidP="004F73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20" w:type="dxa"/>
          </w:tcPr>
          <w:p w:rsidR="004F7380" w:rsidRPr="006A4024" w:rsidRDefault="004F7380" w:rsidP="004F73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252" w:type="dxa"/>
          </w:tcPr>
          <w:p w:rsidR="004F7380" w:rsidRPr="006A4024" w:rsidRDefault="004F7380" w:rsidP="004F73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Срок (периодичность) проведения</w:t>
            </w:r>
          </w:p>
        </w:tc>
        <w:tc>
          <w:tcPr>
            <w:tcW w:w="2261" w:type="dxa"/>
          </w:tcPr>
          <w:p w:rsidR="004F7380" w:rsidRPr="006A4024" w:rsidRDefault="004F7380" w:rsidP="004F73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Ответственные исполнители Инспекции</w:t>
            </w:r>
          </w:p>
        </w:tc>
      </w:tr>
    </w:tbl>
    <w:p w:rsidR="006A4024" w:rsidRPr="001910F0" w:rsidRDefault="006A4024" w:rsidP="006A4024">
      <w:pPr>
        <w:spacing w:after="0" w:line="240" w:lineRule="auto"/>
        <w:rPr>
          <w:sz w:val="2"/>
          <w:szCs w:val="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4"/>
        <w:gridCol w:w="2520"/>
        <w:gridCol w:w="4270"/>
        <w:gridCol w:w="2243"/>
      </w:tblGrid>
      <w:tr w:rsidR="006A4024" w:rsidRPr="006A4024" w:rsidTr="006A4024">
        <w:trPr>
          <w:tblHeader/>
        </w:trPr>
        <w:tc>
          <w:tcPr>
            <w:tcW w:w="594" w:type="dxa"/>
          </w:tcPr>
          <w:p w:rsidR="006A4024" w:rsidRPr="006A4024" w:rsidRDefault="006A4024" w:rsidP="004F73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:rsidR="006A4024" w:rsidRPr="006A4024" w:rsidRDefault="006A4024" w:rsidP="004F73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0" w:type="dxa"/>
          </w:tcPr>
          <w:p w:rsidR="006A4024" w:rsidRPr="006A4024" w:rsidRDefault="006A4024" w:rsidP="004F73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3" w:type="dxa"/>
          </w:tcPr>
          <w:p w:rsidR="006A4024" w:rsidRPr="006A4024" w:rsidRDefault="006A4024" w:rsidP="004F73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6A4024" w:rsidRPr="006A4024" w:rsidTr="006A4024">
        <w:tc>
          <w:tcPr>
            <w:tcW w:w="594" w:type="dxa"/>
          </w:tcPr>
          <w:p w:rsidR="004F7380" w:rsidRPr="006A4024" w:rsidRDefault="006A4024" w:rsidP="006A402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0" w:type="dxa"/>
          </w:tcPr>
          <w:p w:rsidR="004F7380" w:rsidRPr="006A4024" w:rsidRDefault="006A4024" w:rsidP="00F635E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4270" w:type="dxa"/>
          </w:tcPr>
          <w:p w:rsidR="004F7380" w:rsidRPr="006A4024" w:rsidRDefault="006A4024" w:rsidP="00B4523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Доклад о правоприменительной практике утверждается приказом Инспекции до 10 марта года, следующего за отчетным годом, и размещается на странице Инспекции на официальном сайте исполнительных органов Камчатского края в информационно-телекоммуникационной сети «Интернет» до 15 марта год</w:t>
            </w:r>
            <w:r w:rsidR="00B4523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а, следующего за отчетным годом</w:t>
            </w:r>
          </w:p>
        </w:tc>
        <w:tc>
          <w:tcPr>
            <w:tcW w:w="2243" w:type="dxa"/>
          </w:tcPr>
          <w:p w:rsidR="004F7380" w:rsidRPr="006A4024" w:rsidRDefault="006A4024" w:rsidP="00F635E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Отдел лицензирования, правовой и аналитической деятельности</w:t>
            </w:r>
          </w:p>
        </w:tc>
      </w:tr>
      <w:tr w:rsidR="006A4024" w:rsidRPr="006A4024" w:rsidTr="006A4024">
        <w:tc>
          <w:tcPr>
            <w:tcW w:w="594" w:type="dxa"/>
          </w:tcPr>
          <w:p w:rsidR="004F7380" w:rsidRPr="006A4024" w:rsidRDefault="006A4024" w:rsidP="006A402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0" w:type="dxa"/>
          </w:tcPr>
          <w:p w:rsidR="004F7380" w:rsidRPr="006A4024" w:rsidRDefault="006A4024" w:rsidP="00F635E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4270" w:type="dxa"/>
          </w:tcPr>
          <w:p w:rsidR="004F7380" w:rsidRPr="006A4024" w:rsidRDefault="006A4024" w:rsidP="006A402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 наличии сведений о готовящемся нарушении требований или признаках нарушения требований (пункт 12 Правил № 1702)</w:t>
            </w:r>
          </w:p>
        </w:tc>
        <w:tc>
          <w:tcPr>
            <w:tcW w:w="2243" w:type="dxa"/>
          </w:tcPr>
          <w:p w:rsidR="004F7380" w:rsidRPr="006A4024" w:rsidRDefault="006A4024" w:rsidP="00F635E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Отдел жилищного надзора и лицензионного контроля,</w:t>
            </w:r>
          </w:p>
          <w:p w:rsidR="006A4024" w:rsidRPr="006A4024" w:rsidRDefault="006A4024" w:rsidP="00F635E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отдел надзора за деятельностью ТСЖ, управляющих организаций, региональных операторов за формированием фонда капитального ремонта</w:t>
            </w:r>
          </w:p>
        </w:tc>
      </w:tr>
      <w:tr w:rsidR="006A4024" w:rsidRPr="006A4024" w:rsidTr="006A4024">
        <w:tc>
          <w:tcPr>
            <w:tcW w:w="594" w:type="dxa"/>
          </w:tcPr>
          <w:p w:rsidR="004F7380" w:rsidRPr="006A4024" w:rsidRDefault="006A4024" w:rsidP="006A402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0" w:type="dxa"/>
          </w:tcPr>
          <w:p w:rsidR="004F7380" w:rsidRPr="006A4024" w:rsidRDefault="006A4024" w:rsidP="00F635E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4270" w:type="dxa"/>
          </w:tcPr>
          <w:p w:rsidR="004F7380" w:rsidRPr="006A4024" w:rsidRDefault="006A4024" w:rsidP="00F635E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  <w:t>III</w:t>
            </w:r>
            <w:r w:rsidR="005E78C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квартал</w:t>
            </w:r>
            <w:r w:rsidR="00EB0F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2025</w:t>
            </w: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43" w:type="dxa"/>
          </w:tcPr>
          <w:p w:rsidR="006A4024" w:rsidRPr="006A4024" w:rsidRDefault="006A4024" w:rsidP="006A402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Отдел жилищного надзора и лицензионного контроля,</w:t>
            </w:r>
          </w:p>
          <w:p w:rsidR="004F7380" w:rsidRPr="006A4024" w:rsidRDefault="006A4024" w:rsidP="006A402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A402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отдел надзора за деятельностью ТСЖ, управляющих организаций, региональных операторов за формированием фонда капитального ремонта</w:t>
            </w:r>
          </w:p>
        </w:tc>
      </w:tr>
    </w:tbl>
    <w:p w:rsidR="004F7380" w:rsidRPr="000E393E" w:rsidRDefault="004F7380" w:rsidP="006A402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0E393E" w:rsidRPr="000E393E" w:rsidRDefault="000E393E" w:rsidP="000E393E">
      <w:pPr>
        <w:keepNext/>
        <w:keepLines/>
        <w:widowControl w:val="0"/>
        <w:autoSpaceDE w:val="0"/>
        <w:autoSpaceDN w:val="0"/>
        <w:adjustRightInd w:val="0"/>
        <w:spacing w:before="40" w:after="0" w:line="240" w:lineRule="auto"/>
        <w:jc w:val="center"/>
        <w:outlineLvl w:val="2"/>
        <w:rPr>
          <w:rFonts w:ascii="Times New Roman" w:hAnsi="Times New Roman"/>
          <w:color w:val="1F4D78"/>
          <w:sz w:val="28"/>
          <w:szCs w:val="28"/>
          <w:lang w:eastAsia="ja-JP"/>
        </w:rPr>
      </w:pPr>
      <w:r w:rsidRPr="000E393E">
        <w:rPr>
          <w:rFonts w:ascii="Times New Roman" w:hAnsi="Times New Roman"/>
          <w:sz w:val="28"/>
          <w:szCs w:val="28"/>
          <w:lang w:eastAsia="ja-JP"/>
        </w:rPr>
        <w:t>Раздел 4. Показатели результативности и эффективности Программы профилактики</w:t>
      </w:r>
    </w:p>
    <w:p w:rsidR="000E393E" w:rsidRPr="000E393E" w:rsidRDefault="000E393E" w:rsidP="000E393E">
      <w:pPr>
        <w:shd w:val="clear" w:color="auto" w:fill="FFFFFF"/>
        <w:spacing w:after="0" w:line="240" w:lineRule="auto"/>
        <w:ind w:left="1080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B4523C" w:rsidRDefault="00B4523C" w:rsidP="00B4523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MS Mincho" w:hAnsi="Times New Roman"/>
          <w:color w:val="auto"/>
          <w:sz w:val="28"/>
          <w:szCs w:val="28"/>
          <w:lang w:eastAsia="ja-JP"/>
        </w:rPr>
      </w:pPr>
      <w:r>
        <w:rPr>
          <w:rFonts w:ascii="Times New Roman" w:eastAsia="MS Mincho" w:hAnsi="Times New Roman"/>
          <w:color w:val="auto"/>
          <w:sz w:val="28"/>
          <w:szCs w:val="28"/>
          <w:lang w:eastAsia="ja-JP"/>
        </w:rPr>
        <w:lastRenderedPageBreak/>
        <w:t>Оценка эффективности реализации Программы профилактики по итогам года осуществляется по следующим показателям</w:t>
      </w:r>
      <w:r w:rsidR="000E393E" w:rsidRPr="000E393E">
        <w:rPr>
          <w:rFonts w:ascii="Times New Roman" w:eastAsia="MS Mincho" w:hAnsi="Times New Roman"/>
          <w:color w:val="auto"/>
          <w:sz w:val="28"/>
          <w:szCs w:val="28"/>
          <w:lang w:eastAsia="ja-JP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4"/>
        <w:gridCol w:w="4305"/>
        <w:gridCol w:w="2367"/>
        <w:gridCol w:w="2361"/>
      </w:tblGrid>
      <w:tr w:rsidR="00B4523C" w:rsidTr="00B4523C">
        <w:tc>
          <w:tcPr>
            <w:tcW w:w="594" w:type="dxa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4305" w:type="dxa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Наименование показателя</w:t>
            </w:r>
          </w:p>
        </w:tc>
        <w:tc>
          <w:tcPr>
            <w:tcW w:w="2367" w:type="dxa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Единица измерения</w:t>
            </w:r>
          </w:p>
        </w:tc>
        <w:tc>
          <w:tcPr>
            <w:tcW w:w="2361" w:type="dxa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Значение по итогам года</w:t>
            </w:r>
          </w:p>
        </w:tc>
      </w:tr>
      <w:tr w:rsidR="00B4523C" w:rsidTr="00B4523C">
        <w:tc>
          <w:tcPr>
            <w:tcW w:w="594" w:type="dxa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4305" w:type="dxa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Доля выполненных мероприятий, предусмотренных Программой профилактики для реализации, от общего количества программных мероприятий</w:t>
            </w:r>
          </w:p>
        </w:tc>
        <w:tc>
          <w:tcPr>
            <w:tcW w:w="2367" w:type="dxa"/>
            <w:vAlign w:val="center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2361" w:type="dxa"/>
            <w:vAlign w:val="center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более 90</w:t>
            </w:r>
          </w:p>
        </w:tc>
      </w:tr>
      <w:tr w:rsidR="00B4523C" w:rsidTr="00B4523C">
        <w:tc>
          <w:tcPr>
            <w:tcW w:w="594" w:type="dxa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4305" w:type="dxa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Рост количества объявленных Инспекцией в отчетном периоде предостережений по сравнению с количеством выданных предостережений за аналогичный период, предшествующий отчетному году</w:t>
            </w:r>
          </w:p>
        </w:tc>
        <w:tc>
          <w:tcPr>
            <w:tcW w:w="2367" w:type="dxa"/>
            <w:vAlign w:val="center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2361" w:type="dxa"/>
            <w:vAlign w:val="center"/>
          </w:tcPr>
          <w:p w:rsidR="00B4523C" w:rsidRPr="00CE0176" w:rsidRDefault="00B4523C" w:rsidP="00B4523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</w:pPr>
            <w:r w:rsidRPr="00CE0176">
              <w:rPr>
                <w:rFonts w:ascii="Times New Roman" w:eastAsia="MS Mincho" w:hAnsi="Times New Roman"/>
                <w:color w:val="auto"/>
                <w:sz w:val="24"/>
                <w:szCs w:val="24"/>
                <w:lang w:eastAsia="ja-JP"/>
              </w:rPr>
              <w:t>более 90</w:t>
            </w:r>
          </w:p>
        </w:tc>
      </w:tr>
    </w:tbl>
    <w:p w:rsidR="00B4523C" w:rsidRDefault="00B4523C" w:rsidP="00B452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Mincho" w:hAnsi="Times New Roman"/>
          <w:color w:val="auto"/>
          <w:sz w:val="28"/>
          <w:szCs w:val="28"/>
          <w:lang w:eastAsia="ja-JP"/>
        </w:rPr>
      </w:pPr>
    </w:p>
    <w:p w:rsidR="000E393E" w:rsidRPr="000E393E" w:rsidRDefault="00B4523C" w:rsidP="001910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MS Mincho" w:hAnsi="Times New Roman"/>
          <w:color w:val="auto"/>
          <w:sz w:val="28"/>
          <w:szCs w:val="28"/>
          <w:lang w:eastAsia="ja-JP"/>
        </w:rPr>
      </w:pPr>
      <w:r>
        <w:rPr>
          <w:rFonts w:ascii="Times New Roman" w:eastAsia="MS Mincho" w:hAnsi="Times New Roman"/>
          <w:color w:val="auto"/>
          <w:sz w:val="28"/>
          <w:szCs w:val="28"/>
          <w:lang w:eastAsia="ja-JP"/>
        </w:rPr>
        <w:t>Порядок расчета показателей, по которым оценивается результативность и эффективность Программы профилактики:</w:t>
      </w: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244"/>
      </w:tblGrid>
      <w:tr w:rsidR="00B4523C" w:rsidRPr="000E393E" w:rsidTr="00B4523C">
        <w:tc>
          <w:tcPr>
            <w:tcW w:w="562" w:type="dxa"/>
          </w:tcPr>
          <w:p w:rsidR="00B4523C" w:rsidRPr="000E393E" w:rsidRDefault="00B4523C" w:rsidP="000E393E">
            <w:pPr>
              <w:spacing w:before="375" w:line="240" w:lineRule="auto"/>
              <w:contextualSpacing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393E">
              <w:rPr>
                <w:rFonts w:ascii="Times New Roman" w:hAnsi="Times New Roman"/>
                <w:spacing w:val="2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B4523C" w:rsidRPr="000E393E" w:rsidRDefault="00B4523C" w:rsidP="000E393E">
            <w:pPr>
              <w:spacing w:before="375" w:line="240" w:lineRule="auto"/>
              <w:contextualSpacing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393E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44" w:type="dxa"/>
          </w:tcPr>
          <w:p w:rsidR="00B4523C" w:rsidRPr="000E393E" w:rsidRDefault="00B4523C" w:rsidP="000E393E">
            <w:pPr>
              <w:spacing w:before="375" w:line="240" w:lineRule="auto"/>
              <w:contextualSpacing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393E">
              <w:rPr>
                <w:rFonts w:ascii="Times New Roman" w:hAnsi="Times New Roman"/>
                <w:spacing w:val="2"/>
                <w:sz w:val="24"/>
                <w:szCs w:val="24"/>
              </w:rPr>
              <w:t>Параметры расчета</w:t>
            </w:r>
          </w:p>
        </w:tc>
      </w:tr>
    </w:tbl>
    <w:p w:rsidR="000E393E" w:rsidRPr="000E393E" w:rsidRDefault="000E393E" w:rsidP="000E393E">
      <w:pPr>
        <w:spacing w:after="0" w:line="240" w:lineRule="auto"/>
        <w:rPr>
          <w:rFonts w:ascii="Calibri" w:eastAsia="Calibri" w:hAnsi="Calibri"/>
          <w:color w:val="auto"/>
          <w:sz w:val="2"/>
          <w:szCs w:val="2"/>
          <w:lang w:eastAsia="en-US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244"/>
      </w:tblGrid>
      <w:tr w:rsidR="00B4523C" w:rsidRPr="000E393E" w:rsidTr="00B4523C">
        <w:trPr>
          <w:tblHeader/>
        </w:trPr>
        <w:tc>
          <w:tcPr>
            <w:tcW w:w="562" w:type="dxa"/>
          </w:tcPr>
          <w:p w:rsidR="00B4523C" w:rsidRPr="000E393E" w:rsidRDefault="00B4523C" w:rsidP="000E393E">
            <w:pPr>
              <w:spacing w:before="375" w:line="240" w:lineRule="auto"/>
              <w:contextualSpacing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393E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523C" w:rsidRPr="000E393E" w:rsidRDefault="00B4523C" w:rsidP="000E393E">
            <w:pPr>
              <w:spacing w:before="375" w:line="240" w:lineRule="auto"/>
              <w:contextualSpacing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393E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4523C" w:rsidRPr="000E393E" w:rsidRDefault="00B4523C" w:rsidP="000E393E">
            <w:pPr>
              <w:spacing w:before="375" w:line="240" w:lineRule="auto"/>
              <w:contextualSpacing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393E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</w:tr>
      <w:tr w:rsidR="00B4523C" w:rsidRPr="000E393E" w:rsidTr="00B4523C">
        <w:tc>
          <w:tcPr>
            <w:tcW w:w="562" w:type="dxa"/>
          </w:tcPr>
          <w:p w:rsidR="00B4523C" w:rsidRPr="000E393E" w:rsidRDefault="00B4523C" w:rsidP="000E393E">
            <w:pPr>
              <w:spacing w:line="240" w:lineRule="auto"/>
              <w:contextualSpacing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393E">
              <w:rPr>
                <w:rFonts w:ascii="Times New Roman" w:hAnsi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4523C" w:rsidRPr="000E393E" w:rsidRDefault="00CE0176" w:rsidP="000E393E">
            <w:pPr>
              <w:spacing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выполненных мероприятий, предусмотренных Программой профилактики для реализации, от общего количества программных мероприятий</w:t>
            </w:r>
            <w:r w:rsidR="00B4523C" w:rsidRPr="000E39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B4523C" w:rsidRPr="000E393E" w:rsidRDefault="00B4523C" w:rsidP="000E39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4523C" w:rsidRDefault="00CE0176" w:rsidP="00CE0176">
            <w:pPr>
              <w:spacing w:line="240" w:lineRule="auto"/>
              <w:ind w:left="34" w:right="13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</w:t>
            </w:r>
            <w:r w:rsidRPr="00887F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</w:t>
            </w:r>
            <w:r w:rsidRPr="00887F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</w:t>
            </w:r>
            <w:r w:rsidRPr="00887F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*100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%, где:</w:t>
            </w:r>
          </w:p>
          <w:p w:rsidR="00CE0176" w:rsidRDefault="00CE0176" w:rsidP="00CE0176">
            <w:pPr>
              <w:spacing w:line="240" w:lineRule="auto"/>
              <w:ind w:left="34" w:right="13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доля устраненных нарушений от общего числа выявленных нарушений</w:t>
            </w:r>
          </w:p>
          <w:p w:rsidR="00CE0176" w:rsidRDefault="00CE0176" w:rsidP="00CE0176">
            <w:pPr>
              <w:spacing w:line="240" w:lineRule="auto"/>
              <w:ind w:left="34" w:right="13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количество устраненных нарушений</w:t>
            </w:r>
          </w:p>
          <w:p w:rsidR="00CE0176" w:rsidRPr="00CE0176" w:rsidRDefault="00CE0176" w:rsidP="00CE0176">
            <w:pPr>
              <w:spacing w:line="240" w:lineRule="auto"/>
              <w:ind w:left="34" w:right="13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количество выявленных Инспекцией в отчетном периоде нарушений</w:t>
            </w:r>
          </w:p>
        </w:tc>
      </w:tr>
      <w:tr w:rsidR="00B4523C" w:rsidRPr="000E393E" w:rsidTr="00B4523C">
        <w:tc>
          <w:tcPr>
            <w:tcW w:w="562" w:type="dxa"/>
          </w:tcPr>
          <w:p w:rsidR="00B4523C" w:rsidRPr="000E393E" w:rsidRDefault="00B4523C" w:rsidP="000E393E">
            <w:pPr>
              <w:spacing w:line="240" w:lineRule="auto"/>
              <w:contextualSpacing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E393E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B4523C" w:rsidRPr="000E393E" w:rsidRDefault="00CE0176" w:rsidP="000E393E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количества объявленных Инспекцией в отчетном периоде предостережений по сравнению с количеством выданных предостережений за аналогичный период, предшествующий отчетному году</w:t>
            </w:r>
          </w:p>
        </w:tc>
        <w:tc>
          <w:tcPr>
            <w:tcW w:w="5244" w:type="dxa"/>
          </w:tcPr>
          <w:p w:rsidR="00B4523C" w:rsidRDefault="00CE0176" w:rsidP="00CE0176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V =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 –(</w:t>
            </w:r>
            <w:r w:rsidRPr="00CE0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A/B*100%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CE0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где:</w:t>
            </w:r>
          </w:p>
          <w:p w:rsidR="00CE0176" w:rsidRDefault="00CE0176" w:rsidP="00CE0176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V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динамика между количеством объявленных Инспекцией в отчетном периоде предостережений и количеством </w:t>
            </w:r>
            <w:r w:rsidRPr="00CE01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объявленных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предостережений за аналогичный период, предшествующий отчетному году</w:t>
            </w:r>
          </w:p>
          <w:p w:rsidR="00CE0176" w:rsidRDefault="00CE0176" w:rsidP="00CE0176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– количество объявленных Инспекцией в отчетном периоде предостережений</w:t>
            </w:r>
          </w:p>
          <w:p w:rsidR="00CE0176" w:rsidRPr="000E393E" w:rsidRDefault="00CE0176" w:rsidP="00CE0176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– количество объявленных предостережений за аналогичный период, предшествующий отчетному году</w:t>
            </w:r>
          </w:p>
        </w:tc>
      </w:tr>
    </w:tbl>
    <w:p w:rsidR="00AD0EBF" w:rsidRPr="00CE0176" w:rsidRDefault="00AD0EBF" w:rsidP="00CE0176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sectPr w:rsidR="00AD0EBF" w:rsidRPr="00CE0176" w:rsidSect="001910F0">
      <w:headerReference w:type="default" r:id="rId11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08" w:rsidRDefault="00A72808">
      <w:pPr>
        <w:spacing w:after="0" w:line="240" w:lineRule="auto"/>
      </w:pPr>
      <w:r>
        <w:separator/>
      </w:r>
    </w:p>
  </w:endnote>
  <w:endnote w:type="continuationSeparator" w:id="0">
    <w:p w:rsidR="00A72808" w:rsidRDefault="00A7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08" w:rsidRDefault="00A72808">
      <w:pPr>
        <w:spacing w:after="0" w:line="240" w:lineRule="auto"/>
      </w:pPr>
      <w:r>
        <w:separator/>
      </w:r>
    </w:p>
  </w:footnote>
  <w:footnote w:type="continuationSeparator" w:id="0">
    <w:p w:rsidR="00A72808" w:rsidRDefault="00A7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BF" w:rsidRDefault="00AD0EBF">
    <w:pPr>
      <w:pStyle w:val="af3"/>
    </w:pPr>
  </w:p>
  <w:p w:rsidR="00BA3E9C" w:rsidRDefault="00BA3E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F2"/>
    <w:multiLevelType w:val="multilevel"/>
    <w:tmpl w:val="A07E7060"/>
    <w:lvl w:ilvl="0">
      <w:start w:val="1"/>
      <w:numFmt w:val="decimal"/>
      <w:lvlText w:val="%1."/>
      <w:lvlJc w:val="left"/>
      <w:pPr>
        <w:ind w:left="624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1" w15:restartNumberingAfterBreak="0">
    <w:nsid w:val="23826F49"/>
    <w:multiLevelType w:val="multilevel"/>
    <w:tmpl w:val="4A3C3F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" w15:restartNumberingAfterBreak="0">
    <w:nsid w:val="25DE5CDE"/>
    <w:multiLevelType w:val="hybridMultilevel"/>
    <w:tmpl w:val="ED7A1054"/>
    <w:lvl w:ilvl="0" w:tplc="B9801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AF09E72">
      <w:start w:val="1"/>
      <w:numFmt w:val="lowerLetter"/>
      <w:lvlText w:val="%2."/>
      <w:lvlJc w:val="left"/>
      <w:pPr>
        <w:ind w:left="1789" w:hanging="360"/>
      </w:pPr>
    </w:lvl>
    <w:lvl w:ilvl="2" w:tplc="1144CB82">
      <w:start w:val="1"/>
      <w:numFmt w:val="lowerRoman"/>
      <w:lvlText w:val="%3."/>
      <w:lvlJc w:val="right"/>
      <w:pPr>
        <w:ind w:left="2509" w:hanging="180"/>
      </w:pPr>
    </w:lvl>
    <w:lvl w:ilvl="3" w:tplc="C1BAAA5A">
      <w:start w:val="1"/>
      <w:numFmt w:val="decimal"/>
      <w:lvlText w:val="%4."/>
      <w:lvlJc w:val="left"/>
      <w:pPr>
        <w:ind w:left="3229" w:hanging="360"/>
      </w:pPr>
    </w:lvl>
    <w:lvl w:ilvl="4" w:tplc="C374CB00">
      <w:start w:val="1"/>
      <w:numFmt w:val="lowerLetter"/>
      <w:lvlText w:val="%5."/>
      <w:lvlJc w:val="left"/>
      <w:pPr>
        <w:ind w:left="3949" w:hanging="360"/>
      </w:pPr>
    </w:lvl>
    <w:lvl w:ilvl="5" w:tplc="534AD804">
      <w:start w:val="1"/>
      <w:numFmt w:val="lowerRoman"/>
      <w:lvlText w:val="%6."/>
      <w:lvlJc w:val="right"/>
      <w:pPr>
        <w:ind w:left="4669" w:hanging="180"/>
      </w:pPr>
    </w:lvl>
    <w:lvl w:ilvl="6" w:tplc="BB9E5770">
      <w:start w:val="1"/>
      <w:numFmt w:val="decimal"/>
      <w:lvlText w:val="%7."/>
      <w:lvlJc w:val="left"/>
      <w:pPr>
        <w:ind w:left="5389" w:hanging="360"/>
      </w:pPr>
    </w:lvl>
    <w:lvl w:ilvl="7" w:tplc="D242EEA2">
      <w:start w:val="1"/>
      <w:numFmt w:val="lowerLetter"/>
      <w:lvlText w:val="%8."/>
      <w:lvlJc w:val="left"/>
      <w:pPr>
        <w:ind w:left="6109" w:hanging="360"/>
      </w:pPr>
    </w:lvl>
    <w:lvl w:ilvl="8" w:tplc="6FC09DC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1044E1"/>
    <w:multiLevelType w:val="multilevel"/>
    <w:tmpl w:val="7E8640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BF"/>
    <w:rsid w:val="000320BA"/>
    <w:rsid w:val="00045F82"/>
    <w:rsid w:val="00071989"/>
    <w:rsid w:val="000E393E"/>
    <w:rsid w:val="00104391"/>
    <w:rsid w:val="00135429"/>
    <w:rsid w:val="001910F0"/>
    <w:rsid w:val="001E68D9"/>
    <w:rsid w:val="00212C1E"/>
    <w:rsid w:val="002566CB"/>
    <w:rsid w:val="00274D1D"/>
    <w:rsid w:val="002D6344"/>
    <w:rsid w:val="00412C72"/>
    <w:rsid w:val="004A632E"/>
    <w:rsid w:val="004F7380"/>
    <w:rsid w:val="004F7F46"/>
    <w:rsid w:val="00527509"/>
    <w:rsid w:val="005362CF"/>
    <w:rsid w:val="00597ED1"/>
    <w:rsid w:val="005E78C5"/>
    <w:rsid w:val="0065247F"/>
    <w:rsid w:val="006A4024"/>
    <w:rsid w:val="006C1692"/>
    <w:rsid w:val="007B6C6B"/>
    <w:rsid w:val="007D0AA2"/>
    <w:rsid w:val="007D1AA2"/>
    <w:rsid w:val="00837461"/>
    <w:rsid w:val="00887F1B"/>
    <w:rsid w:val="008E0548"/>
    <w:rsid w:val="00995EE3"/>
    <w:rsid w:val="00A52B8A"/>
    <w:rsid w:val="00A72808"/>
    <w:rsid w:val="00AD0EBF"/>
    <w:rsid w:val="00B4523C"/>
    <w:rsid w:val="00BA3E9C"/>
    <w:rsid w:val="00BA7B52"/>
    <w:rsid w:val="00C85EE8"/>
    <w:rsid w:val="00CA23EB"/>
    <w:rsid w:val="00CE0176"/>
    <w:rsid w:val="00D70D32"/>
    <w:rsid w:val="00DC7E73"/>
    <w:rsid w:val="00E04704"/>
    <w:rsid w:val="00E17D46"/>
    <w:rsid w:val="00E2336E"/>
    <w:rsid w:val="00E5772E"/>
    <w:rsid w:val="00E70683"/>
    <w:rsid w:val="00EA38BE"/>
    <w:rsid w:val="00EB053E"/>
    <w:rsid w:val="00EB0FC8"/>
    <w:rsid w:val="00F10CF2"/>
    <w:rsid w:val="00F26597"/>
    <w:rsid w:val="00F635EF"/>
    <w:rsid w:val="00F8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B79AD"/>
  <w15:docId w15:val="{CC199F8A-A67A-477E-9B4F-E567CA14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Pr>
      <w:rFonts w:eastAsia="Times New Roman" w:cs="Times New Roman"/>
      <w:color w:val="000000"/>
      <w:szCs w:val="20"/>
      <w:lang w:eastAsia="ru-RU"/>
    </w:rPr>
  </w:style>
  <w:style w:type="table" w:styleId="af5">
    <w:name w:val="Table Grid"/>
    <w:basedOn w:val="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="Times New Roman" w:cs="Times New Roman"/>
      <w:color w:val="000000"/>
      <w:szCs w:val="20"/>
      <w:lang w:eastAsia="ru-RU"/>
    </w:rPr>
  </w:style>
  <w:style w:type="paragraph" w:styleId="af9">
    <w:name w:val="No Spacing"/>
    <w:link w:val="afa"/>
    <w:qFormat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table" w:customStyle="1" w:styleId="33">
    <w:name w:val="Сетка таблицы3"/>
    <w:basedOn w:val="a1"/>
    <w:next w:val="af5"/>
    <w:uiPriority w:val="99"/>
    <w:rsid w:val="00EB053E"/>
    <w:pPr>
      <w:spacing w:after="0" w:line="240" w:lineRule="auto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5"/>
    <w:uiPriority w:val="39"/>
    <w:rsid w:val="000E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Без интервала Знак"/>
    <w:link w:val="af9"/>
    <w:rsid w:val="0065247F"/>
    <w:rPr>
      <w:rFonts w:eastAsia="Times New Roman" w:cs="Times New Roman"/>
      <w:color w:val="00000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65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65247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50CA-FB16-4971-B417-DBDCF72B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Базархандаева Бальжит Владимировна</dc:creator>
  <cp:keywords/>
  <dc:description/>
  <cp:lastModifiedBy>Авдошенко Сергей Владимирович</cp:lastModifiedBy>
  <cp:revision>6</cp:revision>
  <cp:lastPrinted>2024-11-27T03:16:00Z</cp:lastPrinted>
  <dcterms:created xsi:type="dcterms:W3CDTF">2024-11-26T07:03:00Z</dcterms:created>
  <dcterms:modified xsi:type="dcterms:W3CDTF">2024-11-28T21:33:00Z</dcterms:modified>
</cp:coreProperties>
</file>