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904E46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B25A3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BD41BE">
        <w:rPr>
          <w:rFonts w:ascii="Times New Roman" w:hAnsi="Times New Roman" w:cs="Times New Roman"/>
          <w:sz w:val="24"/>
          <w:szCs w:val="24"/>
        </w:rPr>
        <w:t xml:space="preserve"> </w:t>
      </w:r>
      <w:r w:rsidR="00E8019C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728" w:rsidRPr="005B4BEE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Отчет об выполнении плана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 xml:space="preserve">за </w:t>
      </w:r>
      <w:r w:rsidR="00B25A3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5B4BEE">
        <w:rPr>
          <w:rFonts w:ascii="Times New Roman" w:hAnsi="Times New Roman" w:cs="Times New Roman"/>
          <w:sz w:val="28"/>
          <w:szCs w:val="28"/>
        </w:rPr>
        <w:t>202</w:t>
      </w:r>
      <w:r w:rsidR="00E8019C">
        <w:rPr>
          <w:rFonts w:ascii="Times New Roman" w:hAnsi="Times New Roman" w:cs="Times New Roman"/>
          <w:sz w:val="28"/>
          <w:szCs w:val="28"/>
        </w:rPr>
        <w:t>4</w:t>
      </w:r>
      <w:r w:rsidR="00D51F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31C3" w:rsidRPr="00DA2549" w:rsidRDefault="00565ADE" w:rsidP="00565A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A2549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новых локальных актов в сфере противодейс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коррупции, а также внесение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изменений в действующие локальные акты Учреждения не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1C3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A531C3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8019C" w:rsidRPr="00D37BC1" w:rsidRDefault="00E8019C" w:rsidP="00E801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Комиссией заслушан отчет </w:t>
            </w:r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proofErr w:type="spellStart"/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Ю.О.Аскеровой</w:t>
            </w:r>
            <w:proofErr w:type="spellEnd"/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Случаев несоответствия закупок условиям контракта (договора) не выявлено.</w:t>
            </w:r>
          </w:p>
          <w:p w:rsidR="00E00BBD" w:rsidRPr="009D2AA9" w:rsidRDefault="00E8019C" w:rsidP="00E8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D37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B627CD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B627CD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B627CD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B627CD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B627CD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54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действует комиссия по противодействию коррупции, а также назначены ответственные лица за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в Учреждение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0A616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направлен письмом от</w:t>
            </w:r>
            <w:r w:rsidR="000A616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A6169" w:rsidRPr="000A6169">
              <w:rPr>
                <w:rFonts w:ascii="Times New Roman" w:hAnsi="Times New Roman"/>
                <w:sz w:val="24"/>
                <w:szCs w:val="24"/>
              </w:rPr>
              <w:t>5</w:t>
            </w:r>
            <w:r w:rsidR="000A6169" w:rsidRPr="00904E46">
              <w:rPr>
                <w:rFonts w:ascii="Times New Roman" w:hAnsi="Times New Roman"/>
                <w:sz w:val="24"/>
                <w:szCs w:val="24"/>
              </w:rPr>
              <w:t>.</w:t>
            </w:r>
            <w:r w:rsidR="000A6169">
              <w:rPr>
                <w:rFonts w:ascii="Times New Roman" w:hAnsi="Times New Roman"/>
                <w:sz w:val="24"/>
                <w:szCs w:val="24"/>
              </w:rPr>
              <w:t>12</w:t>
            </w:r>
            <w:r w:rsidR="000A6169" w:rsidRPr="00904E46">
              <w:rPr>
                <w:rFonts w:ascii="Times New Roman" w:hAnsi="Times New Roman"/>
                <w:sz w:val="24"/>
                <w:szCs w:val="24"/>
              </w:rPr>
              <w:t>.202</w:t>
            </w:r>
            <w:r w:rsidR="000A6169">
              <w:rPr>
                <w:rFonts w:ascii="Times New Roman" w:hAnsi="Times New Roman"/>
                <w:sz w:val="24"/>
                <w:szCs w:val="24"/>
              </w:rPr>
              <w:t>3</w:t>
            </w:r>
            <w:r w:rsidR="000A6169" w:rsidRPr="00904E4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A6169" w:rsidRPr="00C82225">
              <w:rPr>
                <w:rFonts w:ascii="Times New Roman" w:hAnsi="Times New Roman"/>
                <w:sz w:val="24"/>
                <w:szCs w:val="24"/>
              </w:rPr>
              <w:t xml:space="preserve"> 01-04-268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организационных и правовых мер для целей исключения коррупционных рисков в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Default="00E00BBD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6169">
              <w:rPr>
                <w:rFonts w:ascii="Times New Roman" w:hAnsi="Times New Roman"/>
                <w:sz w:val="24"/>
                <w:szCs w:val="24"/>
              </w:rPr>
              <w:t xml:space="preserve"> полугодии 2024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действующего законодательства при осуществлении закупок товаров, работ, услуг для нужд краевого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  <w:r w:rsidR="0041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D86" w:rsidRPr="00AD27F4" w:rsidRDefault="00416D86" w:rsidP="009951D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совершения условий, процедур и механизмов осуществления закупок товаров, работ, услуг для обеспечения нужд КГКУ «ЦФО» в 1 полугодии 2024 году один работник прошел повышения квалификации</w:t>
            </w:r>
            <w:r w:rsidR="009951D0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«Контрактная система в сфере закупок, товаров, работ, услуг для обеспечения государственных и муниципальных нужд» в рамках Федерального закона № 44-ФЗ от 05.04.2013 (с изменениями и дополнениями от </w:t>
            </w:r>
            <w:r w:rsidR="009951D0">
              <w:rPr>
                <w:rFonts w:ascii="Times New Roman" w:hAnsi="Times New Roman"/>
                <w:sz w:val="24"/>
                <w:szCs w:val="24"/>
              </w:rPr>
              <w:t>14.02.2024)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lastRenderedPageBreak/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lastRenderedPageBreak/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0A616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</w:t>
            </w:r>
            <w:r w:rsidR="000A6169">
              <w:rPr>
                <w:rFonts w:ascii="Times New Roman" w:hAnsi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 xml:space="preserve">личной заинтересованности (в том числе скрытой </w:t>
            </w:r>
            <w:proofErr w:type="spellStart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7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B" w:rsidRDefault="00B315CB" w:rsidP="0031799B">
      <w:pPr>
        <w:spacing w:after="0" w:line="240" w:lineRule="auto"/>
      </w:pPr>
      <w:r>
        <w:separator/>
      </w:r>
    </w:p>
  </w:endnote>
  <w:end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B" w:rsidRDefault="00B315CB" w:rsidP="0031799B">
      <w:pPr>
        <w:spacing w:after="0" w:line="240" w:lineRule="auto"/>
      </w:pPr>
      <w:r>
        <w:separator/>
      </w:r>
    </w:p>
  </w:footnote>
  <w:foot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A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A6169"/>
    <w:rsid w:val="000B1239"/>
    <w:rsid w:val="000C7139"/>
    <w:rsid w:val="000E0747"/>
    <w:rsid w:val="000E0A3C"/>
    <w:rsid w:val="000E53EF"/>
    <w:rsid w:val="000F7FF7"/>
    <w:rsid w:val="00110BBC"/>
    <w:rsid w:val="00112C1A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449D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8403D"/>
    <w:rsid w:val="00390B99"/>
    <w:rsid w:val="00390FC9"/>
    <w:rsid w:val="00391551"/>
    <w:rsid w:val="003A41C3"/>
    <w:rsid w:val="003B52E1"/>
    <w:rsid w:val="003C30E0"/>
    <w:rsid w:val="003C7B57"/>
    <w:rsid w:val="003D2EE0"/>
    <w:rsid w:val="003E319C"/>
    <w:rsid w:val="004053EB"/>
    <w:rsid w:val="00415FC4"/>
    <w:rsid w:val="00416D86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435ED"/>
    <w:rsid w:val="00554F28"/>
    <w:rsid w:val="005578C9"/>
    <w:rsid w:val="00563B33"/>
    <w:rsid w:val="00565ADE"/>
    <w:rsid w:val="005717EA"/>
    <w:rsid w:val="0057397A"/>
    <w:rsid w:val="005744ED"/>
    <w:rsid w:val="00593A0B"/>
    <w:rsid w:val="00596604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CD6"/>
    <w:rsid w:val="008242BC"/>
    <w:rsid w:val="00832BF9"/>
    <w:rsid w:val="00843772"/>
    <w:rsid w:val="0085578D"/>
    <w:rsid w:val="00856728"/>
    <w:rsid w:val="00860C71"/>
    <w:rsid w:val="00867250"/>
    <w:rsid w:val="008813D2"/>
    <w:rsid w:val="0089042F"/>
    <w:rsid w:val="00894735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6F50"/>
    <w:rsid w:val="008F7288"/>
    <w:rsid w:val="00904121"/>
    <w:rsid w:val="00904E46"/>
    <w:rsid w:val="0091585A"/>
    <w:rsid w:val="00925E4D"/>
    <w:rsid w:val="009277F0"/>
    <w:rsid w:val="0094073A"/>
    <w:rsid w:val="0095344D"/>
    <w:rsid w:val="0096751B"/>
    <w:rsid w:val="009878C2"/>
    <w:rsid w:val="00992E3C"/>
    <w:rsid w:val="009951D0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20211"/>
    <w:rsid w:val="00A32A6F"/>
    <w:rsid w:val="00A43195"/>
    <w:rsid w:val="00A531C3"/>
    <w:rsid w:val="00A73B94"/>
    <w:rsid w:val="00A8227F"/>
    <w:rsid w:val="00A834AC"/>
    <w:rsid w:val="00AA174E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25A3E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6CCD"/>
    <w:rsid w:val="00CD555D"/>
    <w:rsid w:val="00CE2E91"/>
    <w:rsid w:val="00CE43A0"/>
    <w:rsid w:val="00CE6CF8"/>
    <w:rsid w:val="00CF511C"/>
    <w:rsid w:val="00CF6F16"/>
    <w:rsid w:val="00D1614A"/>
    <w:rsid w:val="00D206A1"/>
    <w:rsid w:val="00D31705"/>
    <w:rsid w:val="00D31FA8"/>
    <w:rsid w:val="00D321A0"/>
    <w:rsid w:val="00D330ED"/>
    <w:rsid w:val="00D37BC1"/>
    <w:rsid w:val="00D4278E"/>
    <w:rsid w:val="00D50172"/>
    <w:rsid w:val="00D51F73"/>
    <w:rsid w:val="00D542A7"/>
    <w:rsid w:val="00D67680"/>
    <w:rsid w:val="00D724EB"/>
    <w:rsid w:val="00D73E37"/>
    <w:rsid w:val="00D862D8"/>
    <w:rsid w:val="00D87056"/>
    <w:rsid w:val="00D91172"/>
    <w:rsid w:val="00D911DD"/>
    <w:rsid w:val="00DA2549"/>
    <w:rsid w:val="00DA6F76"/>
    <w:rsid w:val="00DD0628"/>
    <w:rsid w:val="00DD3A94"/>
    <w:rsid w:val="00DF3901"/>
    <w:rsid w:val="00DF3A35"/>
    <w:rsid w:val="00E00BBD"/>
    <w:rsid w:val="00E077C7"/>
    <w:rsid w:val="00E077D1"/>
    <w:rsid w:val="00E11BCF"/>
    <w:rsid w:val="00E159EE"/>
    <w:rsid w:val="00E1616C"/>
    <w:rsid w:val="00E20F88"/>
    <w:rsid w:val="00E21060"/>
    <w:rsid w:val="00E43CC4"/>
    <w:rsid w:val="00E61A8D"/>
    <w:rsid w:val="00E72DA7"/>
    <w:rsid w:val="00E75158"/>
    <w:rsid w:val="00E8019C"/>
    <w:rsid w:val="00E95D44"/>
    <w:rsid w:val="00EA1F07"/>
    <w:rsid w:val="00EC1719"/>
    <w:rsid w:val="00EC6363"/>
    <w:rsid w:val="00EF524F"/>
    <w:rsid w:val="00F148B5"/>
    <w:rsid w:val="00F34881"/>
    <w:rsid w:val="00F52709"/>
    <w:rsid w:val="00F550B4"/>
    <w:rsid w:val="00F655E9"/>
    <w:rsid w:val="00F659DB"/>
    <w:rsid w:val="00F810EF"/>
    <w:rsid w:val="00F81A8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BAD7BFF"/>
  <w15:chartTrackingRefBased/>
  <w15:docId w15:val="{B374246B-B3E4-45A8-A101-4519955A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1"/>
    <w:basedOn w:val="a"/>
    <w:next w:val="af4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F504-E033-4113-BF85-92E0A687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Крюкова Анна Сергеевна</cp:lastModifiedBy>
  <cp:revision>6</cp:revision>
  <cp:lastPrinted>2024-06-03T03:40:00Z</cp:lastPrinted>
  <dcterms:created xsi:type="dcterms:W3CDTF">2024-06-02T23:10:00Z</dcterms:created>
  <dcterms:modified xsi:type="dcterms:W3CDTF">2024-12-13T03:05:00Z</dcterms:modified>
</cp:coreProperties>
</file>