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17.12.2024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tLeast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Постановление Правительства Камчатского края </w:t>
            </w:r>
            <w:r>
              <w:rPr>
                <w:rFonts w:ascii="Times New Roman" w:hAnsi="Times New Roman"/>
                <w:b w:val="0"/>
                <w:sz w:val="28"/>
              </w:rPr>
              <w:t xml:space="preserve">«О внесении изменений в постановление Правительства Камчатского края от 11.01.2010 </w:t>
            </w:r>
            <w:r>
              <w:br/>
            </w:r>
            <w:r>
              <w:rPr>
                <w:rFonts w:ascii="Times New Roman" w:hAnsi="Times New Roman"/>
                <w:b w:val="0"/>
                <w:sz w:val="28"/>
              </w:rPr>
              <w:t>№ 3-П «Об утверждении Перечней редких и находящихся под угрозой исчезновения объектов животного и растительного мира, занесенных в Красную книгу Камчатского края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bookmarkStart w:id="1" w:name="_GoBack"/>
            <w:bookmarkEnd w:id="1"/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"https://regulation.kamgov.ru/projects#npa=7677"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</w:t>
            </w:r>
            <w:r>
              <w:rPr>
                <w:rStyle w:val="Style_4_ch"/>
                <w:rFonts w:ascii="Times New Roman" w:hAnsi="Times New Roman"/>
                <w:sz w:val="28"/>
              </w:rPr>
              <w:t>://</w:t>
            </w:r>
            <w:r>
              <w:rPr>
                <w:rStyle w:val="Style_4_ch"/>
                <w:rFonts w:ascii="Times New Roman" w:hAnsi="Times New Roman"/>
                <w:sz w:val="28"/>
              </w:rPr>
              <w:t>regulation</w:t>
            </w:r>
            <w:r>
              <w:rPr>
                <w:rStyle w:val="Style_4_ch"/>
                <w:rFonts w:ascii="Times New Roman" w:hAnsi="Times New Roman"/>
                <w:sz w:val="28"/>
              </w:rPr>
              <w:t>.</w:t>
            </w:r>
            <w:r>
              <w:rPr>
                <w:rStyle w:val="Style_4_ch"/>
                <w:rFonts w:ascii="Times New Roman" w:hAnsi="Times New Roman"/>
                <w:sz w:val="28"/>
              </w:rPr>
              <w:t>kamgov</w:t>
            </w:r>
            <w:r>
              <w:rPr>
                <w:rStyle w:val="Style_4_ch"/>
                <w:rFonts w:ascii="Times New Roman" w:hAnsi="Times New Roman"/>
                <w:sz w:val="28"/>
              </w:rPr>
              <w:t>.</w:t>
            </w:r>
            <w:r>
              <w:rPr>
                <w:rStyle w:val="Style_4_ch"/>
                <w:rFonts w:ascii="Times New Roman" w:hAnsi="Times New Roman"/>
                <w:sz w:val="28"/>
              </w:rPr>
              <w:t>ru</w:t>
            </w:r>
            <w:r>
              <w:rPr>
                <w:rStyle w:val="Style_4_ch"/>
                <w:rFonts w:ascii="Times New Roman" w:hAnsi="Times New Roman"/>
                <w:sz w:val="28"/>
              </w:rPr>
              <w:t>/</w:t>
            </w:r>
            <w:r>
              <w:rPr>
                <w:rStyle w:val="Style_4_ch"/>
                <w:rFonts w:ascii="Times New Roman" w:hAnsi="Times New Roman"/>
                <w:sz w:val="28"/>
              </w:rPr>
              <w:t>projects</w:t>
            </w:r>
            <w:r>
              <w:rPr>
                <w:rStyle w:val="Style_4_ch"/>
                <w:rFonts w:ascii="Times New Roman" w:hAnsi="Times New Roman"/>
                <w:sz w:val="28"/>
              </w:rPr>
              <w:t>#</w:t>
            </w:r>
            <w:r>
              <w:rPr>
                <w:rStyle w:val="Style_4_ch"/>
                <w:rFonts w:ascii="Times New Roman" w:hAnsi="Times New Roman"/>
                <w:sz w:val="28"/>
              </w:rPr>
              <w:t>npa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</w:p>
        </w:tc>
      </w:tr>
    </w:tbl>
    <w:p w14:paraId="23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5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6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7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2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0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1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2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3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4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5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6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7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C000000">
      <w:pPr>
        <w:pStyle w:val="Style_5"/>
        <w:ind/>
        <w:jc w:val="both"/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Plain Text"/>
    <w:basedOn w:val="Style_6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6_ch"/>
    <w:link w:val="Style_9"/>
    <w:rPr>
      <w:rFonts w:ascii="Calibri" w:hAnsi="Calibri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otnote reference"/>
    <w:basedOn w:val="Style_10"/>
    <w:link w:val="Style_13_ch"/>
    <w:rPr>
      <w:vertAlign w:val="superscript"/>
    </w:rPr>
  </w:style>
  <w:style w:styleId="Style_13_ch" w:type="character">
    <w:name w:val="footnote reference"/>
    <w:basedOn w:val="Style_10_ch"/>
    <w:link w:val="Style_13"/>
    <w:rPr>
      <w:vertAlign w:val="superscript"/>
    </w:rPr>
  </w:style>
  <w:style w:styleId="Style_14" w:type="paragraph">
    <w:name w:val="footer"/>
    <w:basedOn w:val="Style_6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6_ch"/>
    <w:link w:val="Style_14"/>
    <w:rPr>
      <w:rFonts w:ascii="Times New Roman" w:hAnsi="Times New Roman"/>
      <w:sz w:val="28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Hyperlink"/>
    <w:basedOn w:val="Style_10"/>
    <w:link w:val="Style_4_ch"/>
    <w:rPr>
      <w:color w:themeColor="hyperlink" w:val="0563C1"/>
      <w:u w:val="single"/>
    </w:rPr>
  </w:style>
  <w:style w:styleId="Style_4_ch" w:type="character">
    <w:name w:val="Hyperlink"/>
    <w:basedOn w:val="Style_10_ch"/>
    <w:link w:val="Style_4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6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6_ch"/>
    <w:link w:val="Style_29"/>
    <w:rPr>
      <w:rFonts w:ascii="Segoe UI" w:hAnsi="Segoe UI"/>
      <w:sz w:val="18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Nonformat"/>
    <w:link w:val="Style_3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2024-12-04T01:11:33Z</dcterms:modified>
</cp:coreProperties>
</file>