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widowControl w:val="0"/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0C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1000000">
      <w:pPr>
        <w:widowControl w:val="0"/>
        <w:spacing w:after="0" w:line="276" w:lineRule="auto"/>
        <w:ind w:firstLine="709" w:left="0"/>
        <w:jc w:val="center"/>
        <w:rPr>
          <w:rFonts w:ascii="Times New Roman" w:hAnsi="Times New Roman"/>
          <w:sz w:val="16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00000">
            <w:pPr>
              <w:widowControl w:val="0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Порядка предоставления </w:t>
            </w:r>
            <w:r>
              <w:rPr>
                <w:rFonts w:ascii="Times New Roman" w:hAnsi="Times New Roman"/>
                <w:b w:val="1"/>
                <w:sz w:val="28"/>
              </w:rPr>
              <w:t>в 2024 году субсиди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из краевого бюджета </w:t>
            </w:r>
            <w:r>
              <w:rPr>
                <w:rFonts w:ascii="Times New Roman" w:hAnsi="Times New Roman"/>
                <w:b w:val="1"/>
                <w:sz w:val="28"/>
              </w:rPr>
              <w:t>на возмещение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части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затрат, связанных с </w:t>
            </w:r>
            <w:r>
              <w:rPr>
                <w:rFonts w:ascii="Times New Roman" w:hAnsi="Times New Roman"/>
                <w:b w:val="1"/>
                <w:sz w:val="28"/>
              </w:rPr>
              <w:t>выполнением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работ по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присоединению населенных пунктов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Карагинского муниципального района (село </w:t>
            </w:r>
            <w:r>
              <w:rPr>
                <w:rFonts w:ascii="Times New Roman" w:hAnsi="Times New Roman"/>
                <w:b w:val="1"/>
                <w:sz w:val="28"/>
              </w:rPr>
              <w:t>Карага</w:t>
            </w:r>
            <w:r>
              <w:rPr>
                <w:rFonts w:ascii="Times New Roman" w:hAnsi="Times New Roman"/>
                <w:b w:val="1"/>
                <w:sz w:val="28"/>
              </w:rPr>
              <w:t xml:space="preserve">,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село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Кострома,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село </w:t>
            </w:r>
            <w:r>
              <w:rPr>
                <w:rFonts w:ascii="Times New Roman" w:hAnsi="Times New Roman"/>
                <w:b w:val="1"/>
                <w:sz w:val="28"/>
              </w:rPr>
              <w:t>Тымлат</w:t>
            </w:r>
            <w:r>
              <w:rPr>
                <w:rFonts w:ascii="Times New Roman" w:hAnsi="Times New Roman"/>
                <w:b w:val="1"/>
                <w:sz w:val="28"/>
              </w:rPr>
              <w:t>)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 </w:t>
            </w:r>
            <w:r>
              <w:rPr>
                <w:rFonts w:ascii="Times New Roman" w:hAnsi="Times New Roman"/>
                <w:b w:val="1"/>
                <w:sz w:val="28"/>
              </w:rPr>
              <w:t>зоновой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во</w:t>
            </w:r>
            <w:r>
              <w:rPr>
                <w:rFonts w:ascii="Times New Roman" w:hAnsi="Times New Roman"/>
                <w:b w:val="1"/>
                <w:sz w:val="28"/>
              </w:rPr>
              <w:t>локонно-оптической линии связи</w:t>
            </w:r>
            <w:r>
              <w:rPr>
                <w:rFonts w:ascii="Times New Roman" w:hAnsi="Times New Roman"/>
                <w:b w:val="1"/>
                <w:sz w:val="28"/>
              </w:rPr>
              <w:t>, и проведения отбора получател</w:t>
            </w:r>
            <w:r>
              <w:rPr>
                <w:rFonts w:ascii="Times New Roman" w:hAnsi="Times New Roman"/>
                <w:b w:val="1"/>
                <w:sz w:val="28"/>
              </w:rPr>
              <w:t>ей субсиди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</w:p>
        </w:tc>
      </w:tr>
    </w:tbl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подпунктом 2 пункта 2 статьи 78, </w:t>
      </w:r>
      <w:r>
        <w:rPr>
          <w:rFonts w:ascii="Times New Roman" w:hAnsi="Times New Roman"/>
          <w:sz w:val="28"/>
        </w:rPr>
        <w:t xml:space="preserve">подпунктом 2 пункта 2, </w:t>
      </w:r>
      <w:r>
        <w:rPr>
          <w:rFonts w:ascii="Times New Roman" w:hAnsi="Times New Roman"/>
          <w:sz w:val="28"/>
        </w:rPr>
        <w:t>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ПРАВИТЕЛЬСТВО ПОСТАНОВЛЯЕТ: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pStyle w:val="Style_6"/>
        <w:widowControl w:val="0"/>
        <w:numPr>
          <w:ilvl w:val="0"/>
          <w:numId w:val="1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Порядок </w:t>
      </w:r>
      <w:r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z w:val="28"/>
        </w:rPr>
        <w:t xml:space="preserve">доставления </w:t>
      </w:r>
      <w:r>
        <w:rPr>
          <w:rFonts w:ascii="Times New Roman" w:hAnsi="Times New Roman"/>
          <w:sz w:val="28"/>
        </w:rPr>
        <w:t>в 2024 году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из краевого бюджета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затрат, </w:t>
      </w:r>
      <w:r>
        <w:rPr>
          <w:rFonts w:ascii="Times New Roman" w:hAnsi="Times New Roman"/>
          <w:sz w:val="28"/>
        </w:rPr>
        <w:t xml:space="preserve">связанных с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z w:val="28"/>
        </w:rPr>
        <w:t xml:space="preserve"> работ 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D000000">
      <w:pPr>
        <w:pStyle w:val="Style_6"/>
        <w:widowControl w:val="0"/>
        <w:numPr>
          <w:ilvl w:val="0"/>
          <w:numId w:val="1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E000000">
      <w:pPr>
        <w:pStyle w:val="Style_6"/>
        <w:widowControl w:val="0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sz w:val="16"/>
        </w:rPr>
      </w:pPr>
    </w:p>
    <w:p w14:paraId="1F000000">
      <w:pPr>
        <w:pStyle w:val="Style_6"/>
        <w:widowControl w:val="0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sz w:val="16"/>
        </w:rPr>
      </w:pPr>
    </w:p>
    <w:p w14:paraId="20000000">
      <w:pPr>
        <w:pStyle w:val="Style_6"/>
        <w:widowControl w:val="0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sz w:val="16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747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>
      <w:pPr>
        <w:sectPr>
          <w:headerReference r:id="rId1" w:type="first"/>
          <w:headerReference r:id="rId5" w:type="default"/>
          <w:footerReference r:id="rId2" w:type="first"/>
          <w:pgSz w:h="16838" w:orient="portrait" w:w="11906"/>
          <w:pgMar w:bottom="170" w:footer="709" w:gutter="0" w:header="567" w:left="1418" w:right="851" w:top="57"/>
          <w:pgNumType w:start="1"/>
          <w:titlePg/>
        </w:sectPr>
      </w:pP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A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z w:val="28"/>
        </w:rPr>
        <w:t xml:space="preserve">доставления </w:t>
      </w:r>
      <w:r>
        <w:rPr>
          <w:rFonts w:ascii="Times New Roman" w:hAnsi="Times New Roman"/>
          <w:sz w:val="28"/>
        </w:rPr>
        <w:t>в 2024 году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из краевого бюджета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затрат, </w:t>
      </w:r>
      <w:r>
        <w:rPr>
          <w:rFonts w:ascii="Times New Roman" w:hAnsi="Times New Roman"/>
          <w:sz w:val="28"/>
        </w:rPr>
        <w:t xml:space="preserve">связанных с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z w:val="28"/>
        </w:rPr>
        <w:t xml:space="preserve"> работ 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pStyle w:val="Style_6"/>
        <w:widowControl w:val="0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Общие </w:t>
      </w:r>
      <w:r>
        <w:rPr>
          <w:rFonts w:ascii="Times New Roman" w:hAnsi="Times New Roman"/>
          <w:sz w:val="28"/>
        </w:rPr>
        <w:t>положения</w:t>
      </w:r>
    </w:p>
    <w:p w14:paraId="3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</w:t>
      </w:r>
      <w:r>
        <w:rPr>
          <w:rFonts w:ascii="Times New Roman" w:hAnsi="Times New Roman"/>
          <w:sz w:val="28"/>
        </w:rPr>
        <w:t xml:space="preserve">регулирует вопросы предоставления </w:t>
      </w:r>
      <w:r>
        <w:rPr>
          <w:rFonts w:ascii="Times New Roman" w:hAnsi="Times New Roman"/>
          <w:sz w:val="28"/>
        </w:rPr>
        <w:t xml:space="preserve">из краевого бюджета </w:t>
      </w:r>
      <w:r>
        <w:rPr>
          <w:rFonts w:ascii="Times New Roman" w:hAnsi="Times New Roman"/>
          <w:sz w:val="28"/>
        </w:rPr>
        <w:t xml:space="preserve">за счет средств краевого бюджета </w:t>
      </w:r>
      <w:r>
        <w:rPr>
          <w:rFonts w:ascii="Times New Roman" w:hAnsi="Times New Roman"/>
          <w:sz w:val="28"/>
        </w:rPr>
        <w:t>в 2024 году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юридическим лицам </w:t>
      </w:r>
      <w:r>
        <w:rPr>
          <w:rFonts w:ascii="Times New Roman" w:hAnsi="Times New Roman"/>
          <w:sz w:val="28"/>
        </w:rPr>
        <w:t>(за исключением государственных (муниципальных) учреждений) и индивидуальным предпринимателям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затрат, </w:t>
      </w:r>
      <w:r>
        <w:rPr>
          <w:rFonts w:ascii="Times New Roman" w:hAnsi="Times New Roman"/>
          <w:sz w:val="28"/>
        </w:rPr>
        <w:t xml:space="preserve">связанных с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z w:val="28"/>
        </w:rPr>
        <w:t xml:space="preserve"> работ 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линии связи</w:t>
      </w:r>
      <w:r>
        <w:rPr>
          <w:rFonts w:ascii="Times New Roman" w:hAnsi="Times New Roman"/>
          <w:sz w:val="28"/>
        </w:rPr>
        <w:t xml:space="preserve"> (далее – субсидия)</w:t>
      </w:r>
      <w:r>
        <w:rPr>
          <w:rFonts w:ascii="Times New Roman" w:hAnsi="Times New Roman"/>
          <w:sz w:val="28"/>
        </w:rPr>
        <w:t xml:space="preserve">, в </w:t>
      </w:r>
      <w:r>
        <w:rPr>
          <w:rFonts w:ascii="Times New Roman" w:hAnsi="Times New Roman"/>
          <w:sz w:val="28"/>
        </w:rPr>
        <w:t>целях достижения результат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 проекта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Инфраструктура связи»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соответственно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региональный проект, </w:t>
      </w:r>
      <w:r>
        <w:rPr>
          <w:rFonts w:ascii="Times New Roman" w:hAnsi="Times New Roman"/>
          <w:sz w:val="28"/>
        </w:rPr>
        <w:t>Программа)</w:t>
      </w:r>
      <w:r>
        <w:rPr>
          <w:rFonts w:ascii="Times New Roman" w:hAnsi="Times New Roman"/>
          <w:sz w:val="28"/>
        </w:rPr>
        <w:t>, и проведения отбора получателей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отбор)</w:t>
      </w:r>
      <w:r>
        <w:rPr>
          <w:rFonts w:ascii="Times New Roman" w:hAnsi="Times New Roman"/>
          <w:sz w:val="28"/>
        </w:rPr>
        <w:t>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Министерство цифрового развития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>
        <w:rPr>
          <w:rFonts w:ascii="Times New Roman" w:hAnsi="Times New Roman"/>
          <w:sz w:val="28"/>
        </w:rPr>
        <w:t>льств на предоставление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2024 год</w:t>
      </w:r>
      <w:r>
        <w:rPr>
          <w:rFonts w:ascii="Times New Roman" w:hAnsi="Times New Roman"/>
          <w:sz w:val="28"/>
        </w:rPr>
        <w:t>.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Субсидия предоставляе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2024 году в </w:t>
      </w:r>
      <w:r>
        <w:rPr>
          <w:rFonts w:ascii="Times New Roman" w:hAnsi="Times New Roman"/>
          <w:sz w:val="28"/>
        </w:rPr>
        <w:t xml:space="preserve">период </w:t>
      </w:r>
      <w:r>
        <w:rPr>
          <w:rFonts w:ascii="Times New Roman" w:hAnsi="Times New Roman"/>
          <w:sz w:val="28"/>
        </w:rPr>
        <w:t>реализации регионального проекта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пределах лимитов бюджетных обязательств, доведенных в установленном порядке до Министерства.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возмещение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z w:val="28"/>
        </w:rPr>
        <w:t>.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Информация о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соответственно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сеть Интернет, единый портал) (в разделе единого портала) в порядке, установленном Министерством финансов Российской Федерации.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6000000">
      <w:pPr>
        <w:pStyle w:val="Style_6"/>
        <w:widowControl w:val="0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Иные положения</w:t>
      </w:r>
    </w:p>
    <w:p w14:paraId="47000000">
      <w:pPr>
        <w:pStyle w:val="Style_6"/>
        <w:widowControl w:val="0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. К категории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color w:val="000000"/>
          <w:sz w:val="28"/>
        </w:rPr>
        <w:t xml:space="preserve"> относятся юридические лица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(за исключением государственных (муниципальных) учреждений) и </w:t>
      </w:r>
      <w:r>
        <w:rPr>
          <w:rFonts w:ascii="Times New Roman" w:hAnsi="Times New Roman"/>
          <w:color w:val="000000"/>
          <w:sz w:val="28"/>
        </w:rPr>
        <w:t xml:space="preserve">индивидуальные предприниматели, оказывающие услуги связи на территории Камчатского края, и имеющие действующую лицензию </w:t>
      </w:r>
      <w:r>
        <w:rPr>
          <w:rFonts w:ascii="Times New Roman" w:hAnsi="Times New Roman"/>
          <w:sz w:val="28"/>
        </w:rPr>
        <w:t>на деятельность в области оказания услуг связи, выданную уполномоченным органом государственной власти – Федеральной службой по надзору в сфере связи, информационных технологий и массовых коммуникаций, включающ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услуги связи по передаче данных, за исключением услуг связи по передаче данных для целей передачи голосовой информации, а также </w:t>
      </w:r>
      <w:r>
        <w:rPr>
          <w:rFonts w:ascii="Times New Roman" w:hAnsi="Times New Roman"/>
          <w:sz w:val="28"/>
        </w:rPr>
        <w:t>телематические</w:t>
      </w:r>
      <w:r>
        <w:rPr>
          <w:rFonts w:ascii="Times New Roman" w:hAnsi="Times New Roman"/>
          <w:sz w:val="28"/>
        </w:rPr>
        <w:t xml:space="preserve"> услуги связи в соответствии с Перечнем наименований услуг связи, вносимых в записи в реестре лицензий в области связи в отношении лицензий на осуществление деятельности в области оказания услуг связи в рамках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"https://login.consultant.ru/link/?req=doc&amp;base=LAW&amp;n=410674&amp;dst=100020"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лицензировании деятельности в области оказания услуг связи, утвержденного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Российской Федерации от 30.12.2020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2385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лицензировании деятельности в области оказания услуг связи и признании утратившими силу некоторых актов Пра</w:t>
      </w:r>
      <w:r>
        <w:rPr>
          <w:rFonts w:ascii="Times New Roman" w:hAnsi="Times New Roman"/>
          <w:sz w:val="28"/>
        </w:rPr>
        <w:t>вительства Российской Федерации»</w:t>
      </w:r>
      <w:r>
        <w:rPr>
          <w:rFonts w:ascii="Times New Roman" w:hAnsi="Times New Roman"/>
          <w:sz w:val="28"/>
        </w:rPr>
        <w:t>.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Субсидия предоставляется </w:t>
      </w:r>
      <w:r>
        <w:rPr>
          <w:rFonts w:ascii="Times New Roman" w:hAnsi="Times New Roman"/>
          <w:color w:val="000000"/>
          <w:sz w:val="28"/>
        </w:rPr>
        <w:t>получател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 субсидии </w:t>
      </w:r>
      <w:r>
        <w:rPr>
          <w:rFonts w:ascii="Times New Roman" w:hAnsi="Times New Roman"/>
          <w:color w:val="000000"/>
          <w:sz w:val="28"/>
        </w:rPr>
        <w:t>на возмещение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затрат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связанных с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color w:val="000000"/>
          <w:sz w:val="28"/>
        </w:rPr>
        <w:t xml:space="preserve"> работ 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color w:val="000000"/>
          <w:sz w:val="28"/>
        </w:rPr>
        <w:t>Карага</w:t>
      </w:r>
      <w:r>
        <w:rPr>
          <w:rFonts w:ascii="Times New Roman" w:hAnsi="Times New Roman"/>
          <w:color w:val="000000"/>
          <w:sz w:val="28"/>
        </w:rPr>
        <w:t xml:space="preserve">, село Кострома, село </w:t>
      </w:r>
      <w:r>
        <w:rPr>
          <w:rFonts w:ascii="Times New Roman" w:hAnsi="Times New Roman"/>
          <w:color w:val="000000"/>
          <w:sz w:val="28"/>
        </w:rPr>
        <w:t>Тымлат</w:t>
      </w:r>
      <w:r>
        <w:rPr>
          <w:rFonts w:ascii="Times New Roman" w:hAnsi="Times New Roman"/>
          <w:color w:val="000000"/>
          <w:sz w:val="28"/>
        </w:rPr>
        <w:t xml:space="preserve">) к </w:t>
      </w:r>
      <w:r>
        <w:rPr>
          <w:rFonts w:ascii="Times New Roman" w:hAnsi="Times New Roman"/>
          <w:color w:val="000000"/>
          <w:sz w:val="28"/>
        </w:rPr>
        <w:t>зоновой</w:t>
      </w:r>
      <w:r>
        <w:rPr>
          <w:rFonts w:ascii="Times New Roman" w:hAnsi="Times New Roman"/>
          <w:color w:val="000000"/>
          <w:sz w:val="28"/>
        </w:rPr>
        <w:t xml:space="preserve"> волоконно-оптической линии 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посредством проводных </w:t>
      </w:r>
      <w:r>
        <w:rPr>
          <w:rFonts w:ascii="Times New Roman" w:hAnsi="Times New Roman"/>
          <w:color w:val="000000"/>
          <w:sz w:val="28"/>
          <w:highlight w:val="white"/>
        </w:rPr>
        <w:t>либо беспроводных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технологий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(радиорелейные линии)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а также организацией опорных распределительных сетей в указанных населенных пунктах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по следующим направлениям затрат</w:t>
      </w:r>
      <w:r>
        <w:rPr>
          <w:rFonts w:ascii="Times New Roman" w:hAnsi="Times New Roman"/>
          <w:color w:val="000000"/>
          <w:sz w:val="28"/>
        </w:rPr>
        <w:t>: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проведение проектных и изыскательских работ</w:t>
      </w:r>
      <w:r>
        <w:rPr>
          <w:rFonts w:ascii="Times New Roman" w:hAnsi="Times New Roman"/>
          <w:sz w:val="28"/>
        </w:rPr>
        <w:t>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приобретение станционного, каналообразующего, линейного оборудования, в том числе волоконно-оптического кабеля</w:t>
      </w:r>
      <w:r>
        <w:rPr>
          <w:rFonts w:ascii="Times New Roman" w:hAnsi="Times New Roman"/>
          <w:sz w:val="28"/>
        </w:rPr>
        <w:t xml:space="preserve">, страной происхождения которого является </w:t>
      </w:r>
      <w:r>
        <w:rPr>
          <w:rFonts w:ascii="Times New Roman" w:hAnsi="Times New Roman"/>
          <w:sz w:val="28"/>
        </w:rPr>
        <w:t>Российская Федерация</w:t>
      </w:r>
      <w:r>
        <w:rPr>
          <w:rFonts w:ascii="Times New Roman" w:hAnsi="Times New Roman"/>
          <w:sz w:val="28"/>
        </w:rPr>
        <w:t>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приобретение (аренда) специализированной механизированной техники;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приобретение горюче-смазочных материалов;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подготовка территории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z w:val="28"/>
        </w:rPr>
        <w:t xml:space="preserve"> работ, в том числе </w:t>
      </w:r>
      <w:r>
        <w:rPr>
          <w:rFonts w:ascii="Times New Roman" w:hAnsi="Times New Roman"/>
          <w:sz w:val="28"/>
        </w:rPr>
        <w:t xml:space="preserve">с учетом </w:t>
      </w:r>
      <w:r>
        <w:rPr>
          <w:rFonts w:ascii="Times New Roman" w:hAnsi="Times New Roman"/>
          <w:sz w:val="28"/>
        </w:rPr>
        <w:t xml:space="preserve">оценки воздействия и </w:t>
      </w:r>
      <w:r>
        <w:rPr>
          <w:rFonts w:ascii="Times New Roman" w:hAnsi="Times New Roman"/>
          <w:sz w:val="28"/>
        </w:rPr>
        <w:t>возмещения ущерба, нанесенного водным и биолог</w:t>
      </w:r>
      <w:r>
        <w:rPr>
          <w:rFonts w:ascii="Times New Roman" w:hAnsi="Times New Roman"/>
          <w:sz w:val="28"/>
        </w:rPr>
        <w:t>ическим ресурсам, лесному фонду</w:t>
      </w:r>
      <w:r>
        <w:rPr>
          <w:rFonts w:ascii="Times New Roman" w:hAnsi="Times New Roman"/>
          <w:sz w:val="28"/>
        </w:rPr>
        <w:t>;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установка</w:t>
      </w:r>
      <w:r>
        <w:rPr>
          <w:rFonts w:ascii="Times New Roman" w:hAnsi="Times New Roman"/>
          <w:sz w:val="28"/>
        </w:rPr>
        <w:t xml:space="preserve"> временных зданий и сооружений</w:t>
      </w:r>
      <w:r>
        <w:rPr>
          <w:rFonts w:ascii="Times New Roman" w:hAnsi="Times New Roman"/>
          <w:sz w:val="28"/>
        </w:rPr>
        <w:t>, необходимых для</w:t>
      </w:r>
      <w:r>
        <w:rPr>
          <w:rFonts w:ascii="Times New Roman" w:hAnsi="Times New Roman"/>
          <w:sz w:val="28"/>
        </w:rPr>
        <w:t xml:space="preserve"> выполнения работ</w:t>
      </w:r>
      <w:r>
        <w:rPr>
          <w:rFonts w:ascii="Times New Roman" w:hAnsi="Times New Roman"/>
          <w:sz w:val="28"/>
        </w:rPr>
        <w:t xml:space="preserve">, связанных с </w:t>
      </w:r>
      <w:r>
        <w:rPr>
          <w:rFonts w:ascii="Times New Roman" w:hAnsi="Times New Roman"/>
          <w:sz w:val="28"/>
        </w:rPr>
        <w:t>проведением земельных, строительно-монтажных и пуско-наладочных работ</w:t>
      </w:r>
      <w:r>
        <w:rPr>
          <w:rFonts w:ascii="Times New Roman" w:hAnsi="Times New Roman"/>
          <w:sz w:val="28"/>
        </w:rPr>
        <w:t>;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проведение земельных, строительно-монтажных и пуско-наладочных работ;</w:t>
      </w:r>
    </w:p>
    <w:p w14:paraId="5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оплата труда работников получателя субсидии, работающих по найму, в том числе по договорам гражданско-правового характера, и начислений на оплату труда;</w:t>
      </w:r>
    </w:p>
    <w:p w14:paraId="5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затраты, связанные с командированием рабочих для выполнения работ;</w:t>
      </w:r>
    </w:p>
    <w:p w14:paraId="5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 xml:space="preserve">затраты, связанные с организацией узлов доступа и распределительных сетей передачи данных в </w:t>
      </w:r>
      <w:r>
        <w:rPr>
          <w:rFonts w:ascii="Times New Roman" w:hAnsi="Times New Roman"/>
          <w:sz w:val="28"/>
        </w:rPr>
        <w:t xml:space="preserve">селе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селе Кострома, </w:t>
      </w:r>
      <w:r>
        <w:rPr>
          <w:rFonts w:ascii="Times New Roman" w:hAnsi="Times New Roman"/>
          <w:sz w:val="28"/>
        </w:rPr>
        <w:t>селе Тымлат</w:t>
      </w:r>
      <w:r>
        <w:rPr>
          <w:rFonts w:ascii="Times New Roman" w:hAnsi="Times New Roman"/>
          <w:sz w:val="28"/>
        </w:rPr>
        <w:t>;</w:t>
      </w: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>затраты</w:t>
      </w:r>
      <w:r>
        <w:rPr>
          <w:rFonts w:ascii="Times New Roman" w:hAnsi="Times New Roman"/>
          <w:sz w:val="28"/>
        </w:rPr>
        <w:t xml:space="preserve"> на уплату</w:t>
      </w:r>
      <w:r>
        <w:rPr>
          <w:rFonts w:ascii="Times New Roman" w:hAnsi="Times New Roman"/>
          <w:sz w:val="28"/>
        </w:rPr>
        <w:t xml:space="preserve"> процентов по кредиту (займу), полученному в российской кредитной организации в целях </w:t>
      </w:r>
      <w:r>
        <w:rPr>
          <w:rFonts w:ascii="Times New Roman" w:hAnsi="Times New Roman"/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 </w:t>
      </w:r>
      <w:r>
        <w:rPr>
          <w:rFonts w:ascii="Times New Roman" w:hAnsi="Times New Roman"/>
          <w:sz w:val="28"/>
        </w:rPr>
        <w:t xml:space="preserve">по присоединению населенных пунктов Карагинского муниципального района </w:t>
      </w:r>
      <w:r>
        <w:rPr>
          <w:rFonts w:ascii="Times New Roman" w:hAnsi="Times New Roman"/>
          <w:sz w:val="28"/>
        </w:rPr>
        <w:t xml:space="preserve">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линии связи</w:t>
      </w:r>
      <w:r>
        <w:rPr>
          <w:rFonts w:ascii="Times New Roman" w:hAnsi="Times New Roman"/>
          <w:sz w:val="28"/>
        </w:rPr>
        <w:t>;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>транспортные расходы.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Получатель субсидии (у</w:t>
      </w:r>
      <w:r>
        <w:rPr>
          <w:rFonts w:ascii="Times New Roman" w:hAnsi="Times New Roman"/>
          <w:color w:val="000000"/>
          <w:sz w:val="28"/>
        </w:rPr>
        <w:t>частник</w:t>
      </w:r>
      <w:r>
        <w:rPr>
          <w:rFonts w:ascii="Times New Roman" w:hAnsi="Times New Roman"/>
          <w:color w:val="000000"/>
          <w:sz w:val="28"/>
        </w:rPr>
        <w:t xml:space="preserve"> отбора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первое число месяца подачи заявки (заявления о предоставлении субсидии) </w:t>
      </w:r>
      <w:r>
        <w:rPr>
          <w:rFonts w:ascii="Times New Roman" w:hAnsi="Times New Roman"/>
          <w:color w:val="000000"/>
          <w:sz w:val="28"/>
        </w:rPr>
        <w:t xml:space="preserve">должен соответствовать </w:t>
      </w:r>
      <w:r>
        <w:rPr>
          <w:rFonts w:ascii="Times New Roman" w:hAnsi="Times New Roman"/>
          <w:color w:val="000000"/>
          <w:sz w:val="28"/>
        </w:rPr>
        <w:t>следующим требованиям: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получатель субсидии (у</w:t>
      </w:r>
      <w:r>
        <w:rPr>
          <w:rFonts w:ascii="Times New Roman" w:hAnsi="Times New Roman"/>
          <w:color w:val="000000"/>
          <w:sz w:val="28"/>
        </w:rPr>
        <w:t>частник отбора)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>
        <w:rPr>
          <w:rFonts w:ascii="Times New Roman" w:hAnsi="Times New Roman"/>
          <w:sz w:val="28"/>
        </w:rPr>
        <w:t>енный</w:t>
      </w:r>
      <w:r>
        <w:rPr>
          <w:rFonts w:ascii="Times New Roman" w:hAnsi="Times New Roman"/>
          <w:sz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получатель субсидии (у</w:t>
      </w:r>
      <w:r>
        <w:rPr>
          <w:rFonts w:ascii="Times New Roman" w:hAnsi="Times New Roman"/>
          <w:color w:val="000000"/>
          <w:sz w:val="28"/>
        </w:rPr>
        <w:t>частник отбора)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получатель субсидии (у</w:t>
      </w:r>
      <w:r>
        <w:rPr>
          <w:rFonts w:ascii="Times New Roman" w:hAnsi="Times New Roman"/>
          <w:color w:val="000000"/>
          <w:sz w:val="28"/>
        </w:rPr>
        <w:t>частник отбора)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получатель субсидии (у</w:t>
      </w:r>
      <w:r>
        <w:rPr>
          <w:rFonts w:ascii="Times New Roman" w:hAnsi="Times New Roman"/>
          <w:color w:val="000000"/>
          <w:sz w:val="28"/>
        </w:rPr>
        <w:t>частник отбора)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получает средства из краевого бюджета на основании иных нормативных правовых актов Камчатского края на цели, установленные </w:t>
      </w:r>
      <w:r>
        <w:rPr>
          <w:rFonts w:ascii="Times New Roman" w:hAnsi="Times New Roman"/>
          <w:sz w:val="28"/>
        </w:rPr>
        <w:t xml:space="preserve">в части 1 </w:t>
      </w: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Порядк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получатель субсидии (у</w:t>
      </w:r>
      <w:r>
        <w:rPr>
          <w:rFonts w:ascii="Times New Roman" w:hAnsi="Times New Roman"/>
          <w:color w:val="000000"/>
          <w:sz w:val="28"/>
        </w:rPr>
        <w:t>частник отбора)</w:t>
      </w:r>
      <w:r>
        <w:rPr>
          <w:rFonts w:ascii="Times New Roman" w:hAnsi="Times New Roman"/>
          <w:sz w:val="28"/>
        </w:rPr>
        <w:t xml:space="preserve"> не является иностранным агентом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"https://login.consultant.ru/link/?req=doc&amp;base=LAW&amp;n=452913"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14.07.2022 </w:t>
      </w:r>
      <w:r>
        <w:rPr>
          <w:rFonts w:ascii="Times New Roman" w:hAnsi="Times New Roman"/>
          <w:sz w:val="28"/>
        </w:rPr>
        <w:t xml:space="preserve">№ 255-ФЗ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получателя субсидии (у</w:t>
      </w:r>
      <w:r>
        <w:rPr>
          <w:rFonts w:ascii="Times New Roman" w:hAnsi="Times New Roman"/>
          <w:color w:val="000000"/>
          <w:sz w:val="28"/>
        </w:rPr>
        <w:t>частника отбора)</w:t>
      </w:r>
      <w:r>
        <w:rPr>
          <w:rFonts w:ascii="Times New Roman" w:hAnsi="Times New Roman"/>
          <w:sz w:val="28"/>
        </w:rPr>
        <w:t xml:space="preserve"> на едином налоговом счете отсутствует или не превышает размер, определенный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"https://login.consultant.ru/link/?req=doc&amp;base=LAW&amp;n=451215&amp;dst=5769"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 статьи 47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получателя субсидии (у</w:t>
      </w:r>
      <w:r>
        <w:rPr>
          <w:rFonts w:ascii="Times New Roman" w:hAnsi="Times New Roman"/>
          <w:color w:val="000000"/>
          <w:sz w:val="28"/>
        </w:rPr>
        <w:t>частника отбора)</w:t>
      </w:r>
      <w:r>
        <w:rPr>
          <w:rFonts w:ascii="Times New Roman" w:hAnsi="Times New Roman"/>
          <w:color w:val="000000"/>
          <w:sz w:val="28"/>
        </w:rPr>
        <w:t xml:space="preserve"> отсутству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т просроченная задолженность по возврату в краевой бюджет иных субсидий, бюджетных </w:t>
      </w:r>
      <w:r>
        <w:rPr>
          <w:rFonts w:ascii="Times New Roman" w:hAnsi="Times New Roman"/>
          <w:color w:val="000000"/>
          <w:sz w:val="28"/>
        </w:rPr>
        <w:t xml:space="preserve">инвестиций, </w:t>
      </w:r>
      <w:r>
        <w:rPr>
          <w:rFonts w:ascii="Times New Roman" w:hAnsi="Times New Roman"/>
          <w:color w:val="000000"/>
          <w:sz w:val="28"/>
        </w:rPr>
        <w:t>а также</w:t>
      </w:r>
      <w:r>
        <w:rPr>
          <w:rFonts w:ascii="Times New Roman" w:hAnsi="Times New Roman"/>
          <w:color w:val="000000"/>
          <w:sz w:val="28"/>
        </w:rPr>
        <w:t xml:space="preserve"> иная просроченная (неурегулированная) задолженность по денежным обязательствам перед Камчатским краем;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участник отбора</w:t>
      </w:r>
      <w:r>
        <w:rPr>
          <w:rFonts w:ascii="Times New Roman" w:hAnsi="Times New Roman"/>
          <w:color w:val="000000"/>
          <w:sz w:val="28"/>
        </w:rPr>
        <w:t xml:space="preserve">, являющийся юридическим лицом, не находится </w:t>
      </w:r>
      <w:r>
        <w:rPr>
          <w:rFonts w:ascii="Times New Roman" w:hAnsi="Times New Roman"/>
          <w:color w:val="000000"/>
          <w:sz w:val="28"/>
        </w:rPr>
        <w:t xml:space="preserve">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color w:val="000000"/>
          <w:sz w:val="28"/>
        </w:rPr>
        <w:t>участником отбора</w:t>
      </w:r>
      <w:r>
        <w:rPr>
          <w:rFonts w:ascii="Times New Roman" w:hAnsi="Times New Roman"/>
          <w:color w:val="000000"/>
          <w:sz w:val="28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color w:val="000000"/>
          <w:sz w:val="28"/>
        </w:rPr>
        <w:t>участника отбора</w:t>
      </w:r>
      <w:r>
        <w:rPr>
          <w:rFonts w:ascii="Times New Roman" w:hAnsi="Times New Roman"/>
          <w:color w:val="000000"/>
          <w:sz w:val="28"/>
        </w:rPr>
        <w:t xml:space="preserve">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>, а участник отбора, являющийс</w:t>
      </w:r>
      <w:r>
        <w:rPr>
          <w:rFonts w:ascii="Times New Roman" w:hAnsi="Times New Roman"/>
          <w:color w:val="000000"/>
          <w:sz w:val="28"/>
        </w:rPr>
        <w:t>я индивидуальным предпринимателе</w:t>
      </w:r>
      <w:r>
        <w:rPr>
          <w:rFonts w:ascii="Times New Roman" w:hAnsi="Times New Roman"/>
          <w:color w:val="000000"/>
          <w:sz w:val="28"/>
        </w:rPr>
        <w:t>м, не прекратил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</w:rPr>
        <w:t>;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color w:val="000000"/>
          <w:sz w:val="28"/>
        </w:rPr>
        <w:t>в реестре дисквалифицированных лиц отсутствуют сведения о ди</w:t>
      </w:r>
      <w:r>
        <w:rPr>
          <w:rFonts w:ascii="Times New Roman" w:hAnsi="Times New Roman"/>
          <w:color w:val="000000"/>
          <w:sz w:val="28"/>
        </w:rPr>
        <w:t xml:space="preserve">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/>
          <w:color w:val="000000"/>
          <w:sz w:val="28"/>
        </w:rPr>
        <w:t>получателя субсидии (</w:t>
      </w:r>
      <w:r>
        <w:rPr>
          <w:rFonts w:ascii="Times New Roman" w:hAnsi="Times New Roman"/>
          <w:color w:val="000000"/>
          <w:sz w:val="28"/>
        </w:rPr>
        <w:t>участника отбора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 являющегося юридическим лицом, об индивидуальном предпринимателе</w:t>
      </w:r>
      <w:r>
        <w:rPr>
          <w:rFonts w:ascii="Times New Roman" w:hAnsi="Times New Roman"/>
          <w:color w:val="000000"/>
          <w:sz w:val="28"/>
        </w:rPr>
        <w:t xml:space="preserve"> и о физическом лице – производителе товаров, работ, услуг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являющихс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получателями субсидии (</w:t>
      </w:r>
      <w:r>
        <w:rPr>
          <w:rFonts w:ascii="Times New Roman" w:hAnsi="Times New Roman"/>
          <w:color w:val="000000"/>
          <w:sz w:val="28"/>
        </w:rPr>
        <w:t>участник</w:t>
      </w:r>
      <w:r>
        <w:rPr>
          <w:rFonts w:ascii="Times New Roman" w:hAnsi="Times New Roman"/>
          <w:color w:val="000000"/>
          <w:sz w:val="28"/>
        </w:rPr>
        <w:t>ами</w:t>
      </w:r>
      <w:r>
        <w:rPr>
          <w:rFonts w:ascii="Times New Roman" w:hAnsi="Times New Roman"/>
          <w:color w:val="000000"/>
          <w:sz w:val="28"/>
        </w:rPr>
        <w:t xml:space="preserve"> отбора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участника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бора</w:t>
      </w:r>
      <w:r>
        <w:rPr>
          <w:rFonts w:ascii="Times New Roman" w:hAnsi="Times New Roman"/>
          <w:sz w:val="28"/>
        </w:rPr>
        <w:t xml:space="preserve"> имее</w:t>
      </w:r>
      <w:r>
        <w:rPr>
          <w:rFonts w:ascii="Times New Roman" w:hAnsi="Times New Roman"/>
          <w:sz w:val="28"/>
        </w:rPr>
        <w:t>тся: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действующая лицензия на деятельность в области оказания услуг связи</w:t>
      </w:r>
      <w:r>
        <w:rPr>
          <w:rFonts w:ascii="Times New Roman" w:hAnsi="Times New Roman"/>
          <w:sz w:val="28"/>
        </w:rPr>
        <w:t>, выданная с учетом положений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;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собственн</w:t>
      </w:r>
      <w:r>
        <w:rPr>
          <w:rFonts w:ascii="Times New Roman" w:hAnsi="Times New Roman"/>
          <w:sz w:val="28"/>
        </w:rPr>
        <w:t>ая сеть</w:t>
      </w:r>
      <w:r>
        <w:rPr>
          <w:rFonts w:ascii="Times New Roman" w:hAnsi="Times New Roman"/>
          <w:sz w:val="28"/>
        </w:rPr>
        <w:t xml:space="preserve"> магистральных узлов доступа на территории Камчатского края с указанием населенных пунктов;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собственн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автономн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систем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(AS) и адресно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пространств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IP-адресов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собственн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номерн</w:t>
      </w:r>
      <w:r>
        <w:rPr>
          <w:rFonts w:ascii="Times New Roman" w:hAnsi="Times New Roman"/>
          <w:sz w:val="28"/>
        </w:rPr>
        <w:t>ая емкость</w:t>
      </w:r>
      <w:r>
        <w:rPr>
          <w:rFonts w:ascii="Times New Roman" w:hAnsi="Times New Roman"/>
          <w:sz w:val="28"/>
        </w:rPr>
        <w:t>;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опыт успешной реализации проектов по созданию волоконно-оптической линии связи </w:t>
      </w:r>
      <w:r>
        <w:rPr>
          <w:rFonts w:ascii="Times New Roman" w:hAnsi="Times New Roman"/>
          <w:sz w:val="28"/>
        </w:rPr>
        <w:t>с обеспечением возможности подключения к сети Интернет домохозяйствам, расположенным в населенных пунктах Камчатского края.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Субсидия предоставляется в 2024 году единовременно в размере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99 процентов подтвержденных получателем субсидии фактически произведенных затрат на цель, указанную в части 1 настоящего Порядка, но не более 32 239 000 рублей.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размера субсидии производится по следующей формуле:</w:t>
      </w:r>
    </w:p>
    <w:p w14:paraId="67000000">
      <w:pPr>
        <w:pStyle w:val="Style_6"/>
        <w:widowControl w:val="0"/>
        <w:spacing w:after="0" w:line="240" w:lineRule="auto"/>
        <w:ind w:firstLine="709" w:left="0"/>
        <w:contextualSpacing w:val="0"/>
        <w:jc w:val="center"/>
        <w:rPr>
          <w:rFonts w:ascii="Times New Roman" w:hAnsi="Times New Roman"/>
          <w:sz w:val="24"/>
        </w:rPr>
      </w:pPr>
    </w:p>
    <w:p w14:paraId="68000000">
      <w:pPr>
        <w:pStyle w:val="Style_6"/>
        <w:widowControl w:val="0"/>
        <w:spacing w:after="0" w:line="240" w:lineRule="auto"/>
        <w:ind w:firstLine="709"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 = S </w:t>
      </w:r>
      <w:r>
        <w:rPr>
          <w:rFonts w:ascii="Times New Roman" w:hAnsi="Times New Roman"/>
          <w:sz w:val="20"/>
        </w:rPr>
        <w:t>х</w:t>
      </w:r>
      <w:r>
        <w:rPr>
          <w:rFonts w:ascii="Times New Roman" w:hAnsi="Times New Roman"/>
          <w:sz w:val="28"/>
        </w:rPr>
        <w:t xml:space="preserve"> 0,99, где:</w:t>
      </w:r>
    </w:p>
    <w:p w14:paraId="69000000">
      <w:pPr>
        <w:pStyle w:val="Style_6"/>
        <w:widowControl w:val="0"/>
        <w:spacing w:after="0" w:line="120" w:lineRule="auto"/>
        <w:ind w:firstLine="0" w:left="709"/>
        <w:contextualSpacing w:val="0"/>
        <w:jc w:val="center"/>
        <w:rPr>
          <w:rFonts w:ascii="Times New Roman" w:hAnsi="Times New Roman"/>
          <w:sz w:val="24"/>
        </w:rPr>
      </w:pP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 – размер субсидии, предоставляемой получателю субсидии;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фактически произведенные затраты</w:t>
      </w:r>
      <w:r>
        <w:rPr>
          <w:rFonts w:ascii="Times New Roman" w:hAnsi="Times New Roman"/>
          <w:sz w:val="28"/>
        </w:rPr>
        <w:t xml:space="preserve"> по направлениям, указанным</w:t>
      </w:r>
      <w:r>
        <w:rPr>
          <w:rFonts w:ascii="Times New Roman" w:hAnsi="Times New Roman"/>
          <w:sz w:val="28"/>
        </w:rPr>
        <w:t xml:space="preserve"> в части 8 настоящего Порядка.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По результатам отбора с победителем отбора заключается соглашение </w:t>
      </w:r>
      <w:r>
        <w:rPr>
          <w:rFonts w:ascii="Times New Roman" w:hAnsi="Times New Roman"/>
          <w:sz w:val="28"/>
        </w:rPr>
        <w:t xml:space="preserve">о предоставлении субсидии </w:t>
      </w:r>
      <w:r>
        <w:rPr>
          <w:rFonts w:ascii="Times New Roman" w:hAnsi="Times New Roman"/>
          <w:sz w:val="28"/>
        </w:rPr>
        <w:t>в порядке и сроки,</w:t>
      </w:r>
      <w:r>
        <w:rPr>
          <w:rFonts w:ascii="Times New Roman" w:hAnsi="Times New Roman"/>
          <w:sz w:val="28"/>
        </w:rPr>
        <w:t xml:space="preserve"> установленные частями </w:t>
      </w:r>
      <w:r>
        <w:rPr>
          <w:rFonts w:ascii="Times New Roman" w:hAnsi="Times New Roman"/>
          <w:sz w:val="28"/>
        </w:rPr>
        <w:t xml:space="preserve">11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10 рабочих дней со дня размещения протокола подведения итогов отбора в соответствии</w:t>
      </w:r>
      <w:r>
        <w:rPr>
          <w:rFonts w:ascii="Times New Roman" w:hAnsi="Times New Roman"/>
          <w:sz w:val="28"/>
        </w:rPr>
        <w:t xml:space="preserve"> с частью 70</w:t>
      </w:r>
      <w:r>
        <w:rPr>
          <w:rFonts w:ascii="Times New Roman" w:hAnsi="Times New Roman"/>
          <w:sz w:val="28"/>
        </w:rPr>
        <w:t xml:space="preserve"> настоящего Порядка Министерство подписывает с</w:t>
      </w:r>
      <w:r>
        <w:rPr>
          <w:rFonts w:ascii="Times New Roman" w:hAnsi="Times New Roman"/>
          <w:sz w:val="28"/>
        </w:rPr>
        <w:t xml:space="preserve">оглашение в двух экземплярах и направляет его получателю </w:t>
      </w:r>
      <w:r>
        <w:rPr>
          <w:rFonts w:ascii="Times New Roman" w:hAnsi="Times New Roman"/>
          <w:sz w:val="28"/>
        </w:rPr>
        <w:t>субсидии для подписания посредством почтового отправления или нарочно.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Получатель субсидии в течение 5 рабочих дней со дня получения соглашения подписывает соглашение в двух экземплярах и направляет его в Министерство посредством почтового отправления или нарочно. </w:t>
      </w:r>
      <w:r>
        <w:rPr>
          <w:rFonts w:ascii="Times New Roman" w:hAnsi="Times New Roman"/>
          <w:sz w:val="28"/>
        </w:rPr>
        <w:t>В случае нарушения установленного для подписания соглашения срока, получатель субсидии признается уклонившимся от подписания соглашения.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 xml:space="preserve">Министерство в течение 3 рабочих дней со дня получения подписанного со стороны получателя субсидии соглашения направляет один экземпляр соглашения в адрес получателя субсидии посредством почтового отправления или нарочно. 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14. </w:t>
      </w:r>
      <w:r>
        <w:rPr>
          <w:rFonts w:ascii="Times New Roman" w:hAnsi="Times New Roman"/>
          <w:color w:val="000000"/>
          <w:sz w:val="28"/>
        </w:rPr>
        <w:t>Соглашение считается заключенным после подписания его Министерством и получателем субсидии и регистрации в Министерстве.</w:t>
      </w:r>
    </w:p>
    <w:p w14:paraId="71000000">
      <w:pPr>
        <w:pStyle w:val="Style_6"/>
        <w:widowControl w:val="0"/>
        <w:spacing w:after="0" w:line="240" w:lineRule="auto"/>
        <w:ind w:firstLine="720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Style w:val="Style_7_ch"/>
          <w:rFonts w:ascii="Times New Roman" w:hAnsi="Times New Roman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14:paraId="72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73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субсидии, с которым заключено соглашение, о данном намерении посредством электронной связи, почтовым отправлением или иным способом, обеспечивающим подтверждение получения уведомления.</w:t>
      </w:r>
    </w:p>
    <w:p w14:paraId="74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14:paraId="75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 и направляет один его экземпляр в адрес получателя субсидии посредством электронной связи, почтовым отправлением, нарочно или иным способом, обеспечивающим подтверждение получения дополнительного соглашения.</w:t>
      </w:r>
    </w:p>
    <w:p w14:paraId="76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7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В случае реорганизации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 </w:t>
      </w:r>
    </w:p>
    <w:p w14:paraId="78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 Обязательными условиями предоставления субсидии, включаемыми в соглашение, являются:</w:t>
      </w:r>
    </w:p>
    <w:p w14:paraId="79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 согласовании новых условий соглашения или о расторжении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обязательство получателя субсидии по поддержанию работоспособности и обеспечению обслуживания созданн</w:t>
      </w:r>
      <w:r>
        <w:rPr>
          <w:rFonts w:ascii="Times New Roman" w:hAnsi="Times New Roman"/>
          <w:sz w:val="28"/>
        </w:rPr>
        <w:t>ых объектов связи</w:t>
      </w:r>
      <w:r>
        <w:rPr>
          <w:rFonts w:ascii="Times New Roman" w:hAnsi="Times New Roman"/>
          <w:sz w:val="28"/>
        </w:rPr>
        <w:t xml:space="preserve"> в течение не менее 5 лет после ввода в эксплуатацию;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обязательство получателя субсидии предоставлять в аренду цифровые каналы связи операторам связи, оказывающим услуги связи в населенных пунктах, подключаемых к сети передачи данных, </w:t>
      </w:r>
      <w:r>
        <w:rPr>
          <w:rFonts w:ascii="Times New Roman" w:hAnsi="Times New Roman"/>
          <w:sz w:val="28"/>
        </w:rPr>
        <w:t>на недискриминационных условиях;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обязательство получателя субсидии выполнить</w:t>
      </w:r>
      <w:r>
        <w:rPr>
          <w:rFonts w:ascii="Times New Roman" w:hAnsi="Times New Roman"/>
          <w:color w:val="000000"/>
          <w:sz w:val="28"/>
        </w:rPr>
        <w:t xml:space="preserve"> работы по присоединению населенных пунктов </w:t>
      </w:r>
      <w:r>
        <w:rPr>
          <w:rFonts w:ascii="Times New Roman" w:hAnsi="Times New Roman"/>
          <w:color w:val="000000"/>
          <w:sz w:val="28"/>
        </w:rPr>
        <w:t>Карагинского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(село </w:t>
      </w:r>
      <w:r>
        <w:rPr>
          <w:rFonts w:ascii="Times New Roman" w:hAnsi="Times New Roman"/>
          <w:color w:val="000000"/>
          <w:sz w:val="28"/>
        </w:rPr>
        <w:t>Карага</w:t>
      </w:r>
      <w:r>
        <w:rPr>
          <w:rFonts w:ascii="Times New Roman" w:hAnsi="Times New Roman"/>
          <w:color w:val="000000"/>
          <w:sz w:val="28"/>
        </w:rPr>
        <w:t xml:space="preserve">, село Кострома, село </w:t>
      </w:r>
      <w:r>
        <w:rPr>
          <w:rFonts w:ascii="Times New Roman" w:hAnsi="Times New Roman"/>
          <w:color w:val="000000"/>
          <w:sz w:val="28"/>
        </w:rPr>
        <w:t>Тымлат</w:t>
      </w:r>
      <w:r>
        <w:rPr>
          <w:rFonts w:ascii="Times New Roman" w:hAnsi="Times New Roman"/>
          <w:color w:val="000000"/>
          <w:sz w:val="28"/>
        </w:rPr>
        <w:t xml:space="preserve">) к </w:t>
      </w:r>
      <w:r>
        <w:rPr>
          <w:rFonts w:ascii="Times New Roman" w:hAnsi="Times New Roman"/>
          <w:color w:val="000000"/>
          <w:sz w:val="28"/>
        </w:rPr>
        <w:t>зоновой</w:t>
      </w:r>
      <w:r>
        <w:rPr>
          <w:rFonts w:ascii="Times New Roman" w:hAnsi="Times New Roman"/>
          <w:color w:val="000000"/>
          <w:sz w:val="28"/>
        </w:rPr>
        <w:t xml:space="preserve"> волоконно-оптической линии связи в срок не позднее 25 ноября 2024 года;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страной происхождения приобретенного участником отбора </w:t>
      </w:r>
      <w:r>
        <w:rPr>
          <w:rFonts w:ascii="Times New Roman" w:hAnsi="Times New Roman"/>
          <w:sz w:val="28"/>
        </w:rPr>
        <w:t xml:space="preserve">станционного, каналообразующего, линейного оборудования, в том числе волоконно-оптического кабеля в рамках осуществленных работ </w:t>
      </w:r>
      <w:r>
        <w:rPr>
          <w:rFonts w:ascii="Times New Roman" w:hAnsi="Times New Roman"/>
          <w:sz w:val="28"/>
        </w:rPr>
        <w:t xml:space="preserve">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линии связи </w:t>
      </w:r>
      <w:r>
        <w:rPr>
          <w:rFonts w:ascii="Times New Roman" w:hAnsi="Times New Roman"/>
          <w:sz w:val="28"/>
        </w:rPr>
        <w:t>является Российская Федерация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Для получения субсидии получатель субсидии представляет в Министерство на бумажном носителе в срок не позднее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текущего </w:t>
      </w:r>
      <w:r>
        <w:rPr>
          <w:rFonts w:ascii="Times New Roman" w:hAnsi="Times New Roman"/>
          <w:sz w:val="28"/>
        </w:rPr>
        <w:t>финансового</w:t>
      </w:r>
      <w:r>
        <w:rPr>
          <w:rFonts w:ascii="Times New Roman" w:hAnsi="Times New Roman"/>
          <w:sz w:val="28"/>
        </w:rPr>
        <w:t xml:space="preserve"> года заявление о предоставлении субсидии в произвольной форме, а также: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, подтверждающий</w:t>
      </w:r>
      <w:r>
        <w:rPr>
          <w:rFonts w:ascii="Times New Roman" w:hAnsi="Times New Roman"/>
          <w:sz w:val="28"/>
        </w:rPr>
        <w:t xml:space="preserve">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 подтверждающи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фактически произведенны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по направлениям затрат, указанным в части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 (договоры, счета-фактуры, товарные накладные, платежные поручения и другие документы, подтверждающие </w:t>
      </w:r>
      <w:r>
        <w:rPr>
          <w:rFonts w:ascii="Times New Roman" w:hAnsi="Times New Roman"/>
          <w:sz w:val="28"/>
        </w:rPr>
        <w:t>фактически произведенны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указанные цели); </w:t>
      </w: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копию</w:t>
      </w:r>
      <w:r>
        <w:rPr>
          <w:rFonts w:ascii="Times New Roman" w:hAnsi="Times New Roman"/>
          <w:sz w:val="28"/>
        </w:rPr>
        <w:t xml:space="preserve"> акта о вводе фрагмент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сети связи </w:t>
      </w:r>
      <w:r>
        <w:rPr>
          <w:rFonts w:ascii="Times New Roman" w:hAnsi="Times New Roman"/>
          <w:sz w:val="28"/>
        </w:rPr>
        <w:t xml:space="preserve">в селе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селе Кострома, селе Тымлат </w:t>
      </w:r>
      <w:r>
        <w:rPr>
          <w:rFonts w:ascii="Times New Roman" w:hAnsi="Times New Roman"/>
          <w:sz w:val="28"/>
        </w:rPr>
        <w:t xml:space="preserve">в эксплуатацию в соответствии с приказом Министерства </w:t>
      </w:r>
      <w:r>
        <w:rPr>
          <w:rFonts w:ascii="Times New Roman" w:hAnsi="Times New Roman"/>
          <w:sz w:val="28"/>
        </w:rPr>
        <w:t xml:space="preserve">цифрового развития, </w:t>
      </w:r>
      <w:r>
        <w:rPr>
          <w:rFonts w:ascii="Times New Roman" w:hAnsi="Times New Roman"/>
          <w:sz w:val="28"/>
        </w:rPr>
        <w:t xml:space="preserve">связи и массовых коммуникаций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18.02.2022 № 132 «Об утверждении Требований к порядку ввода сетей связи в </w:t>
      </w:r>
      <w:r>
        <w:rPr>
          <w:rFonts w:ascii="Times New Roman" w:hAnsi="Times New Roman"/>
          <w:color w:val="000000"/>
          <w:sz w:val="28"/>
        </w:rPr>
        <w:t>эксплуатацию»;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 xml:space="preserve">протокол оценочных испытаний, подтверждающих возможность </w:t>
      </w:r>
      <w:r>
        <w:rPr>
          <w:rFonts w:ascii="Times New Roman" w:hAnsi="Times New Roman"/>
          <w:color w:val="000000"/>
          <w:sz w:val="28"/>
        </w:rPr>
        <w:t xml:space="preserve">обеспечения домохозяйств в </w:t>
      </w:r>
      <w:r>
        <w:rPr>
          <w:rFonts w:ascii="Times New Roman" w:hAnsi="Times New Roman"/>
          <w:color w:val="000000"/>
          <w:sz w:val="28"/>
        </w:rPr>
        <w:t xml:space="preserve">селе </w:t>
      </w:r>
      <w:r>
        <w:rPr>
          <w:rFonts w:ascii="Times New Roman" w:hAnsi="Times New Roman"/>
          <w:color w:val="000000"/>
          <w:sz w:val="28"/>
        </w:rPr>
        <w:t>Карага</w:t>
      </w:r>
      <w:r>
        <w:rPr>
          <w:rFonts w:ascii="Times New Roman" w:hAnsi="Times New Roman"/>
          <w:color w:val="000000"/>
          <w:sz w:val="28"/>
        </w:rPr>
        <w:t>, селе Кострома, селе Тымлат</w:t>
      </w:r>
      <w:r>
        <w:rPr>
          <w:rFonts w:ascii="Times New Roman" w:hAnsi="Times New Roman"/>
          <w:color w:val="000000"/>
          <w:sz w:val="28"/>
        </w:rPr>
        <w:t xml:space="preserve"> услугами доступа к сети Интернет на скорости не менее 10 Мбит/с;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справк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, подписанн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руководителем участника отбора, </w:t>
      </w:r>
      <w:r>
        <w:rPr>
          <w:rFonts w:ascii="Times New Roman" w:hAnsi="Times New Roman"/>
          <w:color w:val="000000"/>
          <w:sz w:val="28"/>
        </w:rPr>
        <w:t>подтверждающ</w:t>
      </w:r>
      <w:r>
        <w:rPr>
          <w:rFonts w:ascii="Times New Roman" w:hAnsi="Times New Roman"/>
          <w:color w:val="000000"/>
          <w:sz w:val="28"/>
        </w:rPr>
        <w:t>ую</w:t>
      </w:r>
      <w:r>
        <w:rPr>
          <w:rFonts w:ascii="Times New Roman" w:hAnsi="Times New Roman"/>
          <w:color w:val="000000"/>
          <w:sz w:val="28"/>
        </w:rPr>
        <w:t>, что участник отбора соответствует тре</w:t>
      </w:r>
      <w:r>
        <w:rPr>
          <w:rFonts w:ascii="Times New Roman" w:hAnsi="Times New Roman"/>
          <w:color w:val="000000"/>
          <w:sz w:val="28"/>
        </w:rPr>
        <w:t>бованиям, установленным частью 8</w:t>
      </w:r>
      <w:r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sz w:val="28"/>
        </w:rPr>
        <w:t>отчет о достижении значения</w:t>
      </w:r>
      <w:r>
        <w:rPr>
          <w:rFonts w:ascii="Times New Roman" w:hAnsi="Times New Roman"/>
          <w:sz w:val="28"/>
        </w:rPr>
        <w:t xml:space="preserve"> результата предоставления субсидии по форме, предусмотренной типовой формой соглашения, установленной Министерством финансов Камчатского края</w:t>
      </w:r>
      <w:r>
        <w:rPr>
          <w:rFonts w:ascii="Times New Roman" w:hAnsi="Times New Roman"/>
          <w:sz w:val="28"/>
        </w:rPr>
        <w:t>.</w:t>
      </w:r>
    </w:p>
    <w:p w14:paraId="8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19. Документы, указанные в части 18 настоящего Порядка, подлежат регистрации в день 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поступления в Министерство.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Министерство в течение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дней со дня получения документов, указанных в части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настоящего Порядка, рассматривает </w:t>
      </w:r>
      <w:r>
        <w:rPr>
          <w:rFonts w:ascii="Times New Roman" w:hAnsi="Times New Roman"/>
          <w:sz w:val="28"/>
        </w:rPr>
        <w:t>представленные документы, устанавливает полноту и достоверность</w:t>
      </w:r>
      <w:r>
        <w:rPr>
          <w:rFonts w:ascii="Times New Roman" w:hAnsi="Times New Roman"/>
          <w:sz w:val="28"/>
        </w:rPr>
        <w:t xml:space="preserve"> сведений</w:t>
      </w:r>
      <w:r>
        <w:rPr>
          <w:rFonts w:ascii="Times New Roman" w:hAnsi="Times New Roman"/>
          <w:sz w:val="28"/>
        </w:rPr>
        <w:t>, содержащихся в них,</w:t>
      </w:r>
      <w:r>
        <w:rPr>
          <w:rFonts w:ascii="Times New Roman" w:hAnsi="Times New Roman"/>
          <w:sz w:val="28"/>
        </w:rPr>
        <w:t xml:space="preserve"> осуществляет проверку получателя субсидии на соответствие его категории, установленной частью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Порядка, тре</w:t>
      </w:r>
      <w:r>
        <w:rPr>
          <w:rFonts w:ascii="Times New Roman" w:hAnsi="Times New Roman"/>
          <w:sz w:val="28"/>
        </w:rPr>
        <w:t xml:space="preserve">бованиям, установленным частью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в порядке, установленном </w:t>
      </w:r>
      <w:r>
        <w:rPr>
          <w:rFonts w:ascii="Times New Roman" w:hAnsi="Times New Roman"/>
          <w:sz w:val="28"/>
        </w:rPr>
        <w:t>частью 58</w:t>
      </w:r>
      <w:r>
        <w:rPr>
          <w:rFonts w:ascii="Times New Roman" w:hAnsi="Times New Roman"/>
          <w:sz w:val="28"/>
        </w:rPr>
        <w:t xml:space="preserve"> настоящего Порядка, </w:t>
      </w:r>
      <w:r>
        <w:rPr>
          <w:rFonts w:ascii="Times New Roman" w:hAnsi="Times New Roman"/>
          <w:sz w:val="28"/>
        </w:rPr>
        <w:t xml:space="preserve">выявляет победителя </w:t>
      </w:r>
      <w:r>
        <w:rPr>
          <w:rFonts w:ascii="Times New Roman" w:hAnsi="Times New Roman"/>
          <w:sz w:val="28"/>
        </w:rPr>
        <w:t xml:space="preserve">и принимает решение о предоставлении субсидии </w:t>
      </w:r>
      <w:r>
        <w:rPr>
          <w:rFonts w:ascii="Times New Roman" w:hAnsi="Times New Roman"/>
          <w:sz w:val="28"/>
        </w:rPr>
        <w:t>либо принимает решение</w:t>
      </w:r>
      <w:r>
        <w:rPr>
          <w:rFonts w:ascii="Times New Roman" w:hAnsi="Times New Roman"/>
          <w:sz w:val="28"/>
        </w:rPr>
        <w:t xml:space="preserve"> об отказе в предоставлении субсидии. Решение о предоставлении субсидии принимается Министерством в форме приказа.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Решение об отказе в предоставлении субсидии принимается в следующих случаях:</w:t>
      </w:r>
    </w:p>
    <w:p w14:paraId="8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установленным частью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</w:t>
      </w:r>
      <w:r>
        <w:rPr>
          <w:rFonts w:ascii="Times New Roman" w:hAnsi="Times New Roman"/>
          <w:sz w:val="28"/>
        </w:rPr>
        <w:t>олучателем субсидии информации;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несоответствие </w:t>
      </w:r>
      <w:r>
        <w:rPr>
          <w:rFonts w:ascii="Times New Roman" w:hAnsi="Times New Roman"/>
          <w:sz w:val="28"/>
        </w:rPr>
        <w:t xml:space="preserve">получателя субсидии </w:t>
      </w:r>
      <w:r>
        <w:rPr>
          <w:rFonts w:ascii="Times New Roman" w:hAnsi="Times New Roman"/>
          <w:color w:val="000000"/>
          <w:sz w:val="28"/>
        </w:rPr>
        <w:t xml:space="preserve">категории, установленной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частью 6</w:t>
      </w:r>
      <w:r>
        <w:rPr>
          <w:rFonts w:ascii="Times New Roman" w:hAnsi="Times New Roman"/>
          <w:color w:val="000000"/>
          <w:sz w:val="28"/>
        </w:rPr>
        <w:t xml:space="preserve"> настоящего Порядка, требованиям, установленным частью </w:t>
      </w:r>
      <w:r>
        <w:rPr>
          <w:rFonts w:ascii="Times New Roman" w:hAnsi="Times New Roman"/>
          <w:color w:val="000000"/>
          <w:sz w:val="28"/>
        </w:rPr>
        <w:t>8 настоящего Порядка</w:t>
      </w:r>
      <w:r>
        <w:rPr>
          <w:rFonts w:ascii="Times New Roman" w:hAnsi="Times New Roman"/>
          <w:color w:val="000000"/>
          <w:sz w:val="28"/>
        </w:rPr>
        <w:t>.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 xml:space="preserve">Министерство в случае принятия решения об отказе в предоставлении субсидии в течение 5 рабочих дней со дня принятия такого решения направляет получателю субсидии письменное уведомление об отказе в предоставлении субсидии с указанием причин отказа, посредством электронной связи по адресу электронной почты, указанной в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оглашении, или нарочно.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В случае принятия решения о предоставлении субсидии 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организации, реквизиты которого указаны в Соглашении,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принятия Министерством решения о предоставлении субсидии, по результатам рассмотрения и проверки документов, указанных в части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Результатом предоставления субсидии является </w:t>
      </w:r>
      <w:r>
        <w:rPr>
          <w:rFonts w:ascii="Times New Roman" w:hAnsi="Times New Roman"/>
          <w:sz w:val="28"/>
        </w:rPr>
        <w:t>выполнение</w:t>
      </w:r>
      <w:r>
        <w:rPr>
          <w:rFonts w:ascii="Times New Roman" w:hAnsi="Times New Roman"/>
          <w:sz w:val="28"/>
        </w:rPr>
        <w:t xml:space="preserve"> работ 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</w:t>
      </w:r>
      <w:r>
        <w:rPr>
          <w:rFonts w:ascii="Times New Roman" w:hAnsi="Times New Roman"/>
          <w:sz w:val="28"/>
        </w:rPr>
        <w:t>линии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ноября 2024 года </w:t>
      </w:r>
      <w:r>
        <w:rPr>
          <w:rFonts w:ascii="Times New Roman" w:hAnsi="Times New Roman"/>
          <w:sz w:val="28"/>
        </w:rPr>
        <w:t xml:space="preserve">(доля домохозяйств </w:t>
      </w:r>
      <w:r>
        <w:rPr>
          <w:rFonts w:ascii="Times New Roman" w:hAnsi="Times New Roman"/>
          <w:color w:val="000000"/>
          <w:sz w:val="28"/>
        </w:rPr>
        <w:t xml:space="preserve">в селе </w:t>
      </w:r>
      <w:r>
        <w:rPr>
          <w:rFonts w:ascii="Times New Roman" w:hAnsi="Times New Roman"/>
          <w:color w:val="000000"/>
          <w:sz w:val="28"/>
        </w:rPr>
        <w:t>Карага</w:t>
      </w:r>
      <w:r>
        <w:rPr>
          <w:rFonts w:ascii="Times New Roman" w:hAnsi="Times New Roman"/>
          <w:color w:val="000000"/>
          <w:sz w:val="28"/>
        </w:rPr>
        <w:t>, селе Кострома, селе Тымлат</w:t>
      </w:r>
      <w:r>
        <w:rPr>
          <w:rFonts w:ascii="Times New Roman" w:hAnsi="Times New Roman"/>
          <w:sz w:val="28"/>
        </w:rPr>
        <w:t>, которым обеспечена возможность широкополосного доступа к сети Интернет).</w:t>
      </w:r>
    </w:p>
    <w:p w14:paraId="8E000000">
      <w:pPr>
        <w:pStyle w:val="Style_6"/>
        <w:widowControl w:val="0"/>
        <w:spacing w:after="0" w:line="240" w:lineRule="auto"/>
        <w:ind w:firstLine="720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Министерством в С</w:t>
      </w:r>
      <w:r>
        <w:rPr>
          <w:rFonts w:ascii="Times New Roman" w:hAnsi="Times New Roman"/>
          <w:sz w:val="28"/>
        </w:rPr>
        <w:t>оглашении.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Получатель субсидии ежеквартально в срок не позднее </w:t>
      </w:r>
      <w:r>
        <w:rPr>
          <w:rFonts w:ascii="Times New Roman" w:hAnsi="Times New Roman"/>
          <w:sz w:val="28"/>
        </w:rPr>
        <w:t>10-го</w:t>
      </w:r>
      <w:r>
        <w:rPr>
          <w:rFonts w:ascii="Times New Roman" w:hAnsi="Times New Roman"/>
          <w:sz w:val="28"/>
        </w:rPr>
        <w:t xml:space="preserve"> рабочего дня, следующего за отчетным кварталом, в котором получателю субсидии была перечислена субсидия, представляет в Министерство отчет о достижении значения результата предоставления субсидии (далее – отчет) по форме, предусмотренной типовой формой соглашения, установленной Министерством финансов Камчатского края, посредством почтового отправления или нарочно.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Рассмотрение, проверка и принятие отчета осуществляется Министерством в течение 20 рабочих дней со дня его получения.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случае выявления при рассмотрении отчета некорректного заполнения (не заполнения) получателем субсидии всех обязательных для заполнения граф в отчете, такой отчет считается не принятым после направления получателю субси</w:t>
      </w:r>
      <w:r>
        <w:rPr>
          <w:rFonts w:ascii="Times New Roman" w:hAnsi="Times New Roman"/>
          <w:sz w:val="28"/>
        </w:rPr>
        <w:t>дии в срок, указанный в части 26</w:t>
      </w:r>
      <w:r>
        <w:rPr>
          <w:rFonts w:ascii="Times New Roman" w:hAnsi="Times New Roman"/>
          <w:sz w:val="28"/>
        </w:rPr>
        <w:t xml:space="preserve"> настоящего Порядка, посредством почтового отправления, </w:t>
      </w:r>
      <w:r>
        <w:rPr>
          <w:rFonts w:ascii="Times New Roman" w:hAnsi="Times New Roman"/>
          <w:sz w:val="28"/>
        </w:rPr>
        <w:t xml:space="preserve">электронной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 xml:space="preserve"> или нарочно уведомления, подписанного руководителем Министерства (уполномоченным им лицом), в связи с некорректным заполнением (не заполнением) получателем субсидии всех обязательных для заполнения граф.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Министерство в уведомлении, направленном получателю субсидии, устанавливает требование о направлении скорректированного отчета в срок, установленный в уведомлении.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Министерство проводит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в отношении получателя субсидии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Министерством не реже одного раза в год проводится мониторинг достижения значени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результата предоставления субсидии, определенн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14:paraId="96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государственного </w:t>
      </w:r>
      <w:r>
        <w:rPr>
          <w:rFonts w:ascii="Times New Roman" w:hAnsi="Times New Roman"/>
          <w:sz w:val="28"/>
        </w:rPr>
        <w:t xml:space="preserve">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субсидии, субсидия подлежит возврату получателем субсидии в краевой бюджет в следующем порядке и сроки:</w:t>
      </w:r>
    </w:p>
    <w:p w14:paraId="97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8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99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9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Письменное требование о возврате субсидии направляется Министерством получателю субсидии в течение 5 рабочих дней со дня выявления нарушений по фактам проверок, проведенных Министерством, посредством почтового отправления, на адрес электронной почты или иным способом, обеспечивающим подтверждение получения указанного требования получателем субсидии</w:t>
      </w:r>
      <w:r>
        <w:rPr>
          <w:rFonts w:ascii="Times New Roman" w:hAnsi="Times New Roman"/>
          <w:sz w:val="28"/>
        </w:rPr>
        <w:t>.</w:t>
      </w:r>
    </w:p>
    <w:p w14:paraId="9B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33. </w:t>
      </w:r>
      <w:r>
        <w:rPr>
          <w:rFonts w:ascii="Times New Roman" w:hAnsi="Times New Roman"/>
          <w:color w:val="000000"/>
          <w:sz w:val="28"/>
        </w:rPr>
        <w:t>Получатель субсидии обязан возвратить субсидию в краевой бюджет в следующих размерах:</w:t>
      </w:r>
    </w:p>
    <w:p w14:paraId="9C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условий и порядка, установленных при предоставлении субсидии – в полном объеме;</w:t>
      </w:r>
    </w:p>
    <w:p w14:paraId="9D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субсидии, определенных соглашением, – в размере, определенном по формуле:</w:t>
      </w:r>
    </w:p>
    <w:p w14:paraId="9E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9F000000">
      <w:pPr>
        <w:pStyle w:val="Style_6"/>
        <w:widowControl w:val="0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0"/>
        </w:rPr>
        <w:t>возврата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0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</w:rPr>
        <w:t>, где:</w:t>
      </w:r>
    </w:p>
    <w:p w14:paraId="A0000000">
      <w:pPr>
        <w:pStyle w:val="Style_6"/>
        <w:widowControl w:val="0"/>
        <w:spacing w:after="0" w:line="120" w:lineRule="auto"/>
        <w:ind w:firstLine="709" w:left="0"/>
        <w:contextualSpacing w:val="0"/>
        <w:jc w:val="center"/>
        <w:rPr>
          <w:rFonts w:ascii="Times New Roman" w:hAnsi="Times New Roman"/>
          <w:sz w:val="28"/>
        </w:rPr>
      </w:pPr>
    </w:p>
    <w:p w14:paraId="A1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возврата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размер субсидии, подлежащей возврату в краевой бюджет;</w:t>
      </w:r>
    </w:p>
    <w:p w14:paraId="A2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 w14:paraId="A3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возврата субсидии.</w:t>
      </w:r>
    </w:p>
    <w:p w14:paraId="A4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A5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Коэффициент возврата субсидии рассчитывается по формуле:</w:t>
      </w:r>
    </w:p>
    <w:p w14:paraId="A6000000">
      <w:pPr>
        <w:pStyle w:val="Style_6"/>
        <w:widowControl w:val="0"/>
        <w:spacing w:after="0" w:line="240" w:lineRule="auto"/>
        <w:ind w:firstLine="709" w:left="0"/>
        <w:contextualSpacing w:val="0"/>
        <w:rPr>
          <w:rFonts w:ascii="Times New Roman" w:hAnsi="Times New Roman"/>
          <w:sz w:val="28"/>
        </w:rPr>
      </w:pPr>
    </w:p>
    <w:p w14:paraId="A7000000">
      <w:pPr>
        <w:pStyle w:val="Style_6"/>
        <w:widowControl w:val="0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 = 1 – (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), где:</w:t>
      </w:r>
    </w:p>
    <w:p w14:paraId="A8000000">
      <w:pPr>
        <w:pStyle w:val="Style_6"/>
        <w:widowControl w:val="0"/>
        <w:spacing w:after="0" w:line="120" w:lineRule="auto"/>
        <w:ind w:firstLine="709" w:left="0"/>
        <w:contextualSpacing w:val="0"/>
        <w:jc w:val="center"/>
        <w:rPr>
          <w:rFonts w:ascii="Times New Roman" w:hAnsi="Times New Roman"/>
          <w:sz w:val="28"/>
        </w:rPr>
      </w:pPr>
    </w:p>
    <w:p w14:paraId="A9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возврата субсидии;</w:t>
      </w:r>
    </w:p>
    <w:p w14:paraId="AA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фактически</w:t>
      </w:r>
      <w:r>
        <w:rPr>
          <w:rFonts w:ascii="Times New Roman" w:hAnsi="Times New Roman"/>
          <w:sz w:val="28"/>
        </w:rPr>
        <w:t xml:space="preserve"> достигнутое значение результата предоставления субсидии;</w:t>
      </w:r>
    </w:p>
    <w:p w14:paraId="AB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плановое</w:t>
      </w:r>
      <w:r>
        <w:rPr>
          <w:rFonts w:ascii="Times New Roman" w:hAnsi="Times New Roman"/>
          <w:sz w:val="28"/>
        </w:rPr>
        <w:t xml:space="preserve"> значение результата предоставления субсидии, установленное соглашением.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При невозврате средств субсидии </w:t>
      </w:r>
      <w:r>
        <w:rPr>
          <w:rFonts w:ascii="Times New Roman" w:hAnsi="Times New Roman"/>
          <w:sz w:val="28"/>
        </w:rPr>
        <w:t>в сроки, установленные частью 3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E000000">
      <w:pPr>
        <w:pStyle w:val="Style_6"/>
        <w:widowControl w:val="0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Отбор получателей субсидии </w:t>
      </w:r>
    </w:p>
    <w:p w14:paraId="AF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bookmarkStart w:id="3" w:name="_GoBack"/>
      <w:bookmarkEnd w:id="3"/>
      <w:r>
        <w:rPr>
          <w:rFonts w:ascii="Times New Roman" w:hAnsi="Times New Roman"/>
          <w:color w:val="000000"/>
          <w:sz w:val="28"/>
        </w:rPr>
        <w:t xml:space="preserve">35. Субсидия предоставляется </w:t>
      </w:r>
      <w:r>
        <w:rPr>
          <w:rFonts w:ascii="Times New Roman" w:hAnsi="Times New Roman"/>
          <w:sz w:val="28"/>
        </w:rPr>
        <w:t>по результатам отбора, проводимого в соответствии с требованиями настоящего Порядка, исходя из наилучших условий достижения результатов предоставления субсидии</w:t>
      </w:r>
      <w:r>
        <w:rPr>
          <w:rFonts w:ascii="Times New Roman" w:hAnsi="Times New Roman"/>
          <w:color w:val="000000"/>
          <w:sz w:val="28"/>
        </w:rPr>
        <w:t>.</w:t>
      </w:r>
    </w:p>
    <w:p w14:paraId="B0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Информация о проведении отбора размещается на едином портале.</w:t>
      </w:r>
    </w:p>
    <w:p w14:paraId="B1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Способом проведения отбора является конкурс, проводимый </w:t>
      </w:r>
      <w:r>
        <w:rPr>
          <w:rFonts w:ascii="Times New Roman" w:hAnsi="Times New Roman"/>
          <w:color w:val="000000"/>
          <w:sz w:val="28"/>
        </w:rPr>
        <w:t xml:space="preserve">путем рассмотрения и оценки </w:t>
      </w:r>
      <w:r>
        <w:rPr>
          <w:rFonts w:ascii="Times New Roman" w:hAnsi="Times New Roman"/>
          <w:color w:val="000000"/>
          <w:sz w:val="28"/>
        </w:rPr>
        <w:t>заявок</w:t>
      </w:r>
      <w:r>
        <w:rPr>
          <w:rFonts w:ascii="Times New Roman" w:hAnsi="Times New Roman"/>
          <w:color w:val="000000"/>
          <w:sz w:val="28"/>
        </w:rPr>
        <w:t xml:space="preserve"> участников отбора </w:t>
      </w:r>
      <w:r>
        <w:rPr>
          <w:rFonts w:ascii="Times New Roman" w:hAnsi="Times New Roman"/>
          <w:color w:val="000000"/>
          <w:sz w:val="28"/>
        </w:rPr>
        <w:t xml:space="preserve">комиссией по рассмотрению и оценке </w:t>
      </w:r>
      <w:r>
        <w:rPr>
          <w:rFonts w:ascii="Times New Roman" w:hAnsi="Times New Roman"/>
          <w:color w:val="000000"/>
          <w:sz w:val="28"/>
        </w:rPr>
        <w:t>заявок</w:t>
      </w:r>
      <w:r>
        <w:rPr>
          <w:rFonts w:ascii="Times New Roman" w:hAnsi="Times New Roman"/>
          <w:color w:val="000000"/>
          <w:sz w:val="28"/>
        </w:rPr>
        <w:t xml:space="preserve"> участников </w:t>
      </w:r>
      <w:r>
        <w:rPr>
          <w:rFonts w:ascii="Times New Roman" w:hAnsi="Times New Roman"/>
          <w:color w:val="000000"/>
          <w:sz w:val="28"/>
        </w:rPr>
        <w:t>отбора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– комиссия) с присвоением </w:t>
      </w:r>
      <w:r>
        <w:rPr>
          <w:rFonts w:ascii="Times New Roman" w:hAnsi="Times New Roman"/>
          <w:color w:val="000000"/>
          <w:sz w:val="28"/>
        </w:rPr>
        <w:t>заявкам</w:t>
      </w:r>
      <w:r>
        <w:rPr>
          <w:rFonts w:ascii="Times New Roman" w:hAnsi="Times New Roman"/>
          <w:color w:val="000000"/>
          <w:sz w:val="28"/>
        </w:rPr>
        <w:t xml:space="preserve"> соответствующих баллов </w:t>
      </w:r>
      <w:r>
        <w:rPr>
          <w:rFonts w:ascii="Times New Roman" w:hAnsi="Times New Roman"/>
          <w:color w:val="000000"/>
          <w:sz w:val="28"/>
        </w:rPr>
        <w:t xml:space="preserve">по результатам оценки </w:t>
      </w:r>
      <w:r>
        <w:rPr>
          <w:rFonts w:ascii="Times New Roman" w:hAnsi="Times New Roman"/>
          <w:color w:val="000000"/>
          <w:sz w:val="28"/>
        </w:rPr>
        <w:t xml:space="preserve">критериев, установленных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приложении 2 к </w:t>
      </w:r>
      <w:r>
        <w:rPr>
          <w:rFonts w:ascii="Times New Roman" w:hAnsi="Times New Roman"/>
          <w:color w:val="000000"/>
          <w:sz w:val="28"/>
        </w:rPr>
        <w:t>настояще</w:t>
      </w:r>
      <w:r>
        <w:rPr>
          <w:rFonts w:ascii="Times New Roman" w:hAnsi="Times New Roman"/>
          <w:color w:val="000000"/>
          <w:sz w:val="28"/>
        </w:rPr>
        <w:t>му</w:t>
      </w:r>
      <w:r>
        <w:rPr>
          <w:rFonts w:ascii="Times New Roman" w:hAnsi="Times New Roman"/>
          <w:color w:val="000000"/>
          <w:sz w:val="28"/>
        </w:rPr>
        <w:t xml:space="preserve"> Порядк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>Персональный с</w:t>
      </w:r>
      <w:r>
        <w:rPr>
          <w:rFonts w:ascii="Times New Roman" w:hAnsi="Times New Roman"/>
          <w:sz w:val="28"/>
        </w:rPr>
        <w:t>остав комиссии утверждается приказом Министерства</w:t>
      </w:r>
      <w:r>
        <w:rPr>
          <w:rFonts w:ascii="Times New Roman" w:hAnsi="Times New Roman"/>
          <w:sz w:val="28"/>
        </w:rPr>
        <w:t xml:space="preserve"> и формируется из чис</w:t>
      </w:r>
      <w:r>
        <w:rPr>
          <w:rFonts w:ascii="Times New Roman" w:hAnsi="Times New Roman"/>
          <w:sz w:val="28"/>
        </w:rPr>
        <w:t>ла представителей Министерства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подведомственных Министерству краевых государственных учреждений </w:t>
      </w:r>
      <w:r>
        <w:rPr>
          <w:rFonts w:ascii="Times New Roman" w:hAnsi="Times New Roman"/>
          <w:sz w:val="28"/>
        </w:rPr>
        <w:t xml:space="preserve">в количестве не менее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 человек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состав комиссии входят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председатель, заместитель председателя, секретарь</w:t>
      </w:r>
      <w:r>
        <w:rPr>
          <w:rFonts w:ascii="Times New Roman" w:hAnsi="Times New Roman"/>
          <w:sz w:val="28"/>
        </w:rPr>
        <w:t xml:space="preserve"> и член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комиссии. 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</w:t>
      </w:r>
      <w:r>
        <w:rPr>
          <w:rFonts w:ascii="Times New Roman" w:hAnsi="Times New Roman"/>
          <w:sz w:val="28"/>
        </w:rPr>
        <w:t xml:space="preserve">Заседание комиссии считается правомочным, если на нем присутствует </w:t>
      </w:r>
      <w:r>
        <w:rPr>
          <w:rFonts w:ascii="Times New Roman" w:hAnsi="Times New Roman"/>
          <w:sz w:val="28"/>
        </w:rPr>
        <w:t>более половины</w:t>
      </w:r>
      <w:r>
        <w:rPr>
          <w:rFonts w:ascii="Times New Roman" w:hAnsi="Times New Roman"/>
          <w:sz w:val="28"/>
        </w:rPr>
        <w:t xml:space="preserve"> общего </w:t>
      </w:r>
      <w:r>
        <w:rPr>
          <w:rFonts w:ascii="Times New Roman" w:hAnsi="Times New Roman"/>
          <w:sz w:val="28"/>
        </w:rPr>
        <w:t>количества</w:t>
      </w:r>
      <w:r>
        <w:rPr>
          <w:rFonts w:ascii="Times New Roman" w:hAnsi="Times New Roman"/>
          <w:sz w:val="28"/>
        </w:rPr>
        <w:t xml:space="preserve"> ее членов.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Председатель комиссии: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осуществляет руководство деятельностью комиссии;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назначает заседания комиссии;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проводит заседания комиссии, подписывает протоколы заседаний комиссии.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В отсутствие председателя комиссии его функции осуществляет заместитель председателя комиссии.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Секретарь комиссии: 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организует подготовку заседаний комиссии; 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 позднее 2 рабочих дней до дня проведения заседания комиссии обеспечивает информирование членов комиссии о дате, месте и времени проведения заседания комиссии, о количестве участников отбора, о вопросах, включенных в повестку дня заседания комиссии; 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ведет протоколы заседаний комиссии;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обладает правом голоса по вопросам повестки заседания комиссии; 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осуществляет иные функции, связанные с организационной деятельностью комиссии.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В период отсутствия секретаря комиссии его функции выполняет лицо, избранное на заседании комиссии простым большинством голосов.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Члены комиссии: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выражают мнение по вопросам, вынесенным для рассмотрения на заседание комиссии; 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голосуют по вопросам повестки заседания комиссии.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Комиссия в своей деятельности руководствуется: 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законодательством Российской Федерации, иными нормативными правовыми актами Российской Федерации; 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законодательством Камчатского края, иными нормативными правовыми актами Камчатского края;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настоящим Порядком.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Полномочиями комиссии являются: 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рассмотрение и оценка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участников отбора в срок, установленный </w:t>
      </w:r>
      <w:r>
        <w:rPr>
          <w:rFonts w:ascii="Times New Roman" w:hAnsi="Times New Roman"/>
          <w:sz w:val="28"/>
        </w:rPr>
        <w:t>частью 62</w:t>
      </w:r>
      <w:r>
        <w:rPr>
          <w:rFonts w:ascii="Times New Roman" w:hAnsi="Times New Roman"/>
          <w:sz w:val="28"/>
        </w:rPr>
        <w:t xml:space="preserve"> настоящего Порядка; 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принятие решений комиссии и подписание протоколов, формируемых в процессе проведения отбора, содержащих информацию о принятых комиссией решениях.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</w:t>
      </w:r>
      <w:r>
        <w:rPr>
          <w:rFonts w:ascii="Times New Roman" w:hAnsi="Times New Roman"/>
          <w:sz w:val="28"/>
        </w:rPr>
        <w:t xml:space="preserve">В срок не позднее 1 сентября текущего </w:t>
      </w:r>
      <w:r>
        <w:rPr>
          <w:rFonts w:ascii="Times New Roman" w:hAnsi="Times New Roman"/>
          <w:sz w:val="28"/>
        </w:rPr>
        <w:t>финансового</w:t>
      </w:r>
      <w:r>
        <w:rPr>
          <w:rFonts w:ascii="Times New Roman" w:hAnsi="Times New Roman"/>
          <w:sz w:val="28"/>
        </w:rPr>
        <w:t xml:space="preserve"> года на странице Министерства </w:t>
      </w:r>
      <w:r>
        <w:rPr>
          <w:rFonts w:ascii="Times New Roman" w:hAnsi="Times New Roman"/>
          <w:sz w:val="28"/>
        </w:rPr>
        <w:t xml:space="preserve">на официальном сайте исполнительных органов Камчатского края в сети Интернет во вкладке «Государственная поддержка» раздела «Текущая деятельность» https://www.kamgov.ru/digital/gosudarstvennaa-podderzka (далее – официальный сайт Министерства) и на едином портале </w:t>
      </w:r>
      <w:r>
        <w:rPr>
          <w:rFonts w:ascii="Times New Roman" w:hAnsi="Times New Roman"/>
          <w:sz w:val="28"/>
        </w:rPr>
        <w:t>размещается объявление о проведении отбора (далее также – объявление о проведении отбора, объявление), которое включает в себя в соответствии с настоящим Порядком следующую информацию:</w:t>
      </w:r>
    </w:p>
    <w:p w14:paraId="CB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отбора;</w:t>
      </w:r>
    </w:p>
    <w:p w14:paraId="C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начала подачи и окончания приема заявок, при этом дата окончания приема заявок не может быть ранее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-го календарного дня, следующего за днем размещения объявления;</w:t>
      </w:r>
    </w:p>
    <w:p w14:paraId="C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наименование, место нахождения, почтовый адрес, адрес электронной почты Министерства;</w:t>
      </w:r>
    </w:p>
    <w:p w14:paraId="C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результат предоставления субсидии;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доменное имя и (или) указатели страницы официального сайта Министерства, на котором обеспечивается проведение отбора;</w:t>
      </w:r>
    </w:p>
    <w:p w14:paraId="D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требования к участникам отбора, определенные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и к перечню документов, представляемых участниками отбора для подтверждения их соответствия указанным требованиям;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категории получателей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 критерии оценки;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предъявляемые к форме и содержанию заявок; 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правила рассмотрения и оценки заявок; 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порядок возврата заявок на доработку; 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отклонения; 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порядок оценки заявок, включающий критерии оценки, и их весовое значение в общей оценке, необходимая для представления участником отбора информация по каждому критерию оценки, сведения, документы и материалы, подтверждающие такую информацию, сроки оценки заявок, а также информация об участии или неучастии комиссии в оценке заявок; 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объем распределяемой субсидии в рамках отбора, порядок расчета размера субсидии, </w:t>
      </w:r>
      <w:r>
        <w:rPr>
          <w:rFonts w:ascii="Times New Roman" w:hAnsi="Times New Roman"/>
          <w:sz w:val="28"/>
        </w:rPr>
        <w:t xml:space="preserve">установленный частью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настоящего Порядка, правила распределения субсидии по результатам отбора, </w:t>
      </w:r>
      <w:r>
        <w:rPr>
          <w:rFonts w:ascii="Times New Roman" w:hAnsi="Times New Roman"/>
          <w:sz w:val="28"/>
        </w:rPr>
        <w:t xml:space="preserve">которые включают </w:t>
      </w:r>
      <w:r>
        <w:rPr>
          <w:rFonts w:ascii="Times New Roman" w:hAnsi="Times New Roman"/>
          <w:sz w:val="28"/>
        </w:rPr>
        <w:t xml:space="preserve">максимальный размер субсидии, предоставляемой победителю (победителям) отбора, </w:t>
      </w:r>
      <w:r>
        <w:rPr>
          <w:rFonts w:ascii="Times New Roman" w:hAnsi="Times New Roman"/>
          <w:sz w:val="28"/>
        </w:rPr>
        <w:t>а также предельное количество победителей отбора;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срок</w:t>
      </w:r>
      <w:r>
        <w:rPr>
          <w:rFonts w:ascii="Times New Roman" w:hAnsi="Times New Roman"/>
          <w:sz w:val="28"/>
        </w:rPr>
        <w:t>, в течение которого победитель</w:t>
      </w:r>
      <w:r>
        <w:rPr>
          <w:rFonts w:ascii="Times New Roman" w:hAnsi="Times New Roman"/>
          <w:sz w:val="28"/>
        </w:rPr>
        <w:t xml:space="preserve"> отбора должен подписать соглашение; 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условия признания победителя отбора уклонившимся от заключения соглашения; 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сроки размещения протокола подведения итогов отбора на едином портале или на официальном сайте</w:t>
      </w:r>
      <w:r>
        <w:rPr>
          <w:rFonts w:ascii="Times New Roman" w:hAnsi="Times New Roman"/>
          <w:sz w:val="28"/>
        </w:rPr>
        <w:t xml:space="preserve"> Министерства</w:t>
      </w:r>
      <w:r>
        <w:rPr>
          <w:rFonts w:ascii="Times New Roman" w:hAnsi="Times New Roman"/>
          <w:sz w:val="28"/>
        </w:rPr>
        <w:t>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Для участия в отборе в соответствии с требованиями и в сроки, установленные в объявлении, участник отбора или уполномоченное им лицо представляет в Министерство </w:t>
      </w:r>
      <w:r>
        <w:rPr>
          <w:rFonts w:ascii="Times New Roman" w:hAnsi="Times New Roman"/>
          <w:sz w:val="28"/>
        </w:rPr>
        <w:t xml:space="preserve">нарочно или направляет посредством почтового отправления заявку для участия в отборе </w:t>
      </w:r>
      <w:r>
        <w:rPr>
          <w:rFonts w:ascii="Times New Roman" w:hAnsi="Times New Roman"/>
          <w:sz w:val="28"/>
        </w:rPr>
        <w:t>(далее – заявка) по форме согласно приложению 1 к настоящему Порядку</w:t>
      </w:r>
      <w:r>
        <w:rPr>
          <w:rFonts w:ascii="Times New Roman" w:hAnsi="Times New Roman"/>
          <w:sz w:val="28"/>
        </w:rPr>
        <w:t xml:space="preserve"> с приложением следующих документов:</w:t>
      </w:r>
    </w:p>
    <w:p w14:paraId="D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документа, подтверждающего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D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устава;</w:t>
      </w:r>
    </w:p>
    <w:p w14:paraId="E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документов, подтверждающих наличие опыта успешной реализации проектов по созданию участков волоконно-оптической линии связи с обеспечением возможности подключения к сети Интернет домохозяйствам, расположенным в населенных пунктах Камчатского края (сведений о реализованных проектах со ссылками на средства массовой информации);</w:t>
      </w: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информационной справки, подтверждающей наличие у заявителя собственной сети магистральных узлов доступа на территории Камчатского края с указанием населенных пунктов;</w:t>
      </w:r>
    </w:p>
    <w:p w14:paraId="E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документа, подтверждающего наличие у заявителя собственной автономной системы (AS) и адресного пространства IP-адресов, собственной номерной емкости;</w:t>
      </w:r>
    </w:p>
    <w:p w14:paraId="E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копии лицензии или копии выписки из реестра лицензий на осуществление деятельности в области оказания услуг связи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выданной с учетом положений части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</w:t>
      </w:r>
      <w:r>
        <w:rPr>
          <w:rFonts w:ascii="Times New Roman" w:hAnsi="Times New Roman"/>
          <w:color w:val="000000"/>
          <w:sz w:val="28"/>
        </w:rPr>
        <w:t xml:space="preserve"> Порядка;</w:t>
      </w:r>
    </w:p>
    <w:p w14:paraId="E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справку налогового органа, подтверждающую отсутствие у участника отбора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выданную не ранее, чем за 30 календарных дней до даты подачи заявки;</w:t>
      </w:r>
    </w:p>
    <w:p w14:paraId="E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 xml:space="preserve">справки, подписанной руководителем участника отбора, </w:t>
      </w:r>
      <w:r>
        <w:rPr>
          <w:rFonts w:ascii="Times New Roman" w:hAnsi="Times New Roman"/>
          <w:color w:val="000000"/>
          <w:sz w:val="28"/>
        </w:rPr>
        <w:t xml:space="preserve">подтверждающей, что участник отбора соответствует требованиям, установленным частью 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согласия на размещение на едином портале и на официальном сайте Министерства информации об участнике отбора, о подаваемой участником </w:t>
      </w:r>
      <w:r>
        <w:rPr>
          <w:rFonts w:ascii="Times New Roman" w:hAnsi="Times New Roman"/>
          <w:sz w:val="28"/>
        </w:rPr>
        <w:t>отбора заявке, иной информации об участнике отбора, связанной с соответствующим отбором, по форме, установленной Министерством;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согласия на обработку персональных данных (в отношении руководителя участника отбора и его главного бухгалтера) по форме, установленной Министерством.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Участник отбора вправе подать только одну заявку на участие в отборе.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Fonts w:ascii="Times New Roman" w:hAnsi="Times New Roman"/>
          <w:sz w:val="28"/>
        </w:rPr>
        <w:t>Участник отбора несет ответственность за полноту и качество подготовки представляемых в Министерство документов, за достоверность указанных в них сведений, а также за своевременность их представления.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</w:t>
      </w:r>
      <w:r>
        <w:rPr>
          <w:rFonts w:ascii="Times New Roman" w:hAnsi="Times New Roman"/>
          <w:sz w:val="28"/>
        </w:rPr>
        <w:t>Министерство регистрирует заявку с приложенными к ней документами в день их поступления.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Заявки, поступившие в Министерство после окончания срока подачи заявок, не рассматриваются. 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>. Участник отбора или уполномоченное им лицо вправе подать в Министерство запрос (в свободной форме) о разъяснении положений объявления о проведении отбора (далее – запрос) с даты размещения объявления о проведении отбора, но не позднее 3 рабочих дней до даты окончания срока приема заявок на бумажном носителе лично, посредством почтового отправления, либо в электронной форме на адрес</w:t>
      </w:r>
      <w:r>
        <w:rPr>
          <w:rFonts w:ascii="Times New Roman" w:hAnsi="Times New Roman"/>
          <w:sz w:val="28"/>
        </w:rPr>
        <w:t xml:space="preserve"> электронной почты Министерства</w:t>
      </w:r>
      <w:r>
        <w:rPr>
          <w:rFonts w:ascii="Times New Roman" w:hAnsi="Times New Roman"/>
          <w:sz w:val="28"/>
        </w:rPr>
        <w:t xml:space="preserve"> с указанием адреса электронной почты для направления ответа.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 xml:space="preserve">. Министерство в течение 2 рабочих дней со дня поступления и регистрации запроса обязано направить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 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Участник отбора или уполномоченное им лицо вправе отозвать направленную заявку в любое время до дня окончания срока подачи (приема) заявок, указанного в объявлении о проведении отбора. 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Возврат заявки осуществляется путем направления участником отбора </w:t>
      </w:r>
      <w:r>
        <w:rPr>
          <w:rFonts w:ascii="Times New Roman" w:hAnsi="Times New Roman"/>
          <w:sz w:val="28"/>
        </w:rPr>
        <w:t xml:space="preserve">или уполномоченным им лицом </w:t>
      </w:r>
      <w:r>
        <w:rPr>
          <w:rFonts w:ascii="Times New Roman" w:hAnsi="Times New Roman"/>
          <w:sz w:val="28"/>
        </w:rPr>
        <w:t xml:space="preserve">в Министерство </w:t>
      </w:r>
      <w:r>
        <w:rPr>
          <w:rFonts w:ascii="Times New Roman" w:hAnsi="Times New Roman"/>
          <w:sz w:val="28"/>
        </w:rPr>
        <w:t>на адрес электронной почты, указанной в объявлении,</w:t>
      </w:r>
      <w:r>
        <w:rPr>
          <w:rFonts w:ascii="Times New Roman" w:hAnsi="Times New Roman"/>
          <w:sz w:val="28"/>
        </w:rPr>
        <w:t xml:space="preserve"> заявления об отзыве заявки с указанием адреса электронной почты для направления ответа.</w:t>
      </w:r>
    </w:p>
    <w:p w14:paraId="F1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55. </w:t>
      </w:r>
      <w:r>
        <w:rPr>
          <w:rFonts w:ascii="Times New Roman" w:hAnsi="Times New Roman"/>
          <w:sz w:val="28"/>
        </w:rPr>
        <w:t>На основании полученного заявления об отзыве заявки Министерство в течение 5 рабочих дней с даты его поступления направляет участнику отбора на адрес электронной почты, указанной в заявлении, уведомление о принятии заявления об отзыве заявки.</w:t>
      </w:r>
    </w:p>
    <w:p w14:paraId="F2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Отозвав свою заявку, участник отбора вправе подать новую заявку в пределах срока, указанного в объявлении о проведении отбора.</w:t>
      </w:r>
    </w:p>
    <w:p w14:paraId="F3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56. </w:t>
      </w:r>
      <w:r>
        <w:rPr>
          <w:rFonts w:ascii="Times New Roman" w:hAnsi="Times New Roman"/>
          <w:sz w:val="28"/>
        </w:rPr>
        <w:t>Внесение изменений в заявку осуществляется путем отзыва ранее поданной заявки и направления в Министерство новой заявки, в порядке, аналогичном порядку формирования заявки участни</w:t>
      </w:r>
      <w:r>
        <w:rPr>
          <w:rFonts w:ascii="Times New Roman" w:hAnsi="Times New Roman"/>
          <w:sz w:val="28"/>
        </w:rPr>
        <w:t>ком отбора, указанном в части 47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F4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57. </w:t>
      </w:r>
      <w:r>
        <w:rPr>
          <w:rFonts w:ascii="Times New Roman" w:hAnsi="Times New Roman"/>
          <w:sz w:val="28"/>
        </w:rPr>
        <w:t xml:space="preserve"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способом, или иным способом, обеспечивающим подтверждение получения уведомления, в течение 1 рабочего дня со дня принятия такого решения с указанием оснований для возврата заявки, а также положений заявки, нуждающихся в доработке. </w:t>
      </w:r>
    </w:p>
    <w:p w14:paraId="F5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представления доработанной участником отбора заявки в Министерство не должен превышать 2 рабочих дней со дня возврата ему заявки для доработки. Доработанная участником отбора заявка представляется в Министерство посредством почтового отправления или нарочным способом и подлежит регистрации в день ее поступления. </w:t>
      </w:r>
    </w:p>
    <w:p w14:paraId="F6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F7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58. </w:t>
      </w:r>
      <w:r>
        <w:rPr>
          <w:rFonts w:ascii="Times New Roman" w:hAnsi="Times New Roman"/>
          <w:sz w:val="28"/>
        </w:rPr>
        <w:t xml:space="preserve">Министерство в течение 15 рабочих дней со дня регистрации заявки и документов к ней рассматривает их, проверяет на полноту и достоверность содержащихся в них сведений, осуществляет </w:t>
      </w:r>
      <w:r>
        <w:rPr>
          <w:rFonts w:ascii="Times New Roman" w:hAnsi="Times New Roman"/>
          <w:sz w:val="28"/>
        </w:rPr>
        <w:t xml:space="preserve">проверку участника отбора на </w:t>
      </w:r>
      <w:r>
        <w:rPr>
          <w:rFonts w:ascii="Times New Roman" w:hAnsi="Times New Roman"/>
          <w:sz w:val="28"/>
        </w:rPr>
        <w:t xml:space="preserve">соответствие требованиям, установленным частью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категории, установленной частью </w:t>
      </w:r>
      <w:r>
        <w:rPr>
          <w:rFonts w:ascii="Times New Roman" w:hAnsi="Times New Roman"/>
          <w:sz w:val="28"/>
        </w:rPr>
        <w:t>6 настоящего Порядка</w:t>
      </w:r>
      <w:r>
        <w:rPr>
          <w:rFonts w:ascii="Times New Roman" w:hAnsi="Times New Roman"/>
          <w:sz w:val="28"/>
        </w:rPr>
        <w:t>, посредством получения сведений и информации, размещенной в форме открытых данных на официальных сайтах уполномоченных госуда</w:t>
      </w:r>
      <w:r>
        <w:rPr>
          <w:rFonts w:ascii="Times New Roman" w:hAnsi="Times New Roman"/>
          <w:sz w:val="28"/>
        </w:rPr>
        <w:t>рственных органов в сети Интернет</w:t>
      </w:r>
      <w:r>
        <w:rPr>
          <w:rFonts w:ascii="Times New Roman" w:hAnsi="Times New Roman"/>
          <w:sz w:val="28"/>
        </w:rPr>
        <w:t xml:space="preserve">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 </w:t>
      </w:r>
    </w:p>
    <w:p w14:paraId="F8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Получатель субсидии вправе самостоятельно предоставить в Министерство выписку из Единого государственного реестра юридических лиц.</w:t>
      </w:r>
    </w:p>
    <w:p w14:paraId="F9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59. </w:t>
      </w:r>
      <w:r>
        <w:rPr>
          <w:rFonts w:ascii="Times New Roman" w:hAnsi="Times New Roman"/>
          <w:sz w:val="28"/>
        </w:rPr>
        <w:t xml:space="preserve">В течение 2 рабочих дней со дня окончания срока, установленного в части </w:t>
      </w:r>
      <w:r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решение о допуске участника отбора к конкурсу или об отказе в допуске к конкурсу и отклонении заявки. </w:t>
      </w:r>
    </w:p>
    <w:p w14:paraId="FA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допуске участника отбора к конкурсу принимается Министерством в форме приказа. </w:t>
      </w:r>
    </w:p>
    <w:p w14:paraId="FB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Решение об отказе в допуске к конкурсу и отклонении заявки принимается Министерством в форме уведомления, которое в течение 5 рабочих дней со дня его принятия направляется участнику отбора на адрес электронной почты, указанной в заявке, с указанием причин такого отказа.</w:t>
      </w:r>
    </w:p>
    <w:p w14:paraId="FC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60. </w:t>
      </w:r>
      <w:r>
        <w:rPr>
          <w:rFonts w:ascii="Times New Roman" w:hAnsi="Times New Roman"/>
          <w:sz w:val="28"/>
        </w:rPr>
        <w:t xml:space="preserve">Основаниями для отклонения заявки являются: </w:t>
      </w:r>
    </w:p>
    <w:p w14:paraId="FD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категории, установленной частью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Порядка, требованиям, установленным частью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указанным в объявлении о проведении отбора; </w:t>
      </w:r>
    </w:p>
    <w:p w14:paraId="FE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непредставление (представление не в полном объеме) документов, указанных в объявлении о проведении отбора; </w:t>
      </w:r>
    </w:p>
    <w:p w14:paraId="FF00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несоответствие представленных заявки и (или) документов </w:t>
      </w:r>
      <w:r>
        <w:rPr>
          <w:rFonts w:ascii="Times New Roman" w:hAnsi="Times New Roman"/>
          <w:sz w:val="28"/>
        </w:rPr>
        <w:t xml:space="preserve">требованиям, установленным в объявлении о проведении отбора; </w:t>
      </w:r>
    </w:p>
    <w:p w14:paraId="00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недостоверность информации, содержащейся в документах, представленных в составе заявки; </w:t>
      </w:r>
    </w:p>
    <w:p w14:paraId="01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подачи участником отбора заявки после даты и (или) времени, определенных для подачи заявок; </w:t>
      </w:r>
    </w:p>
    <w:p w14:paraId="02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предоставление участником отбора более одной заявки</w:t>
      </w:r>
      <w:r>
        <w:rPr>
          <w:rFonts w:ascii="Times New Roman" w:hAnsi="Times New Roman"/>
          <w:sz w:val="28"/>
        </w:rPr>
        <w:t>.</w:t>
      </w:r>
    </w:p>
    <w:p w14:paraId="03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61. Заявки участников отбора, в отношении которых принято решение о допуске к участию в конкурсе передаются Министерством на рассмотрение комиссии нарочно не позднее 5 рабочих дней со дня, следующего за днем принятия Министерством решения о допуске участника отбора к конкурсу.</w:t>
      </w:r>
    </w:p>
    <w:p w14:paraId="04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62. </w:t>
      </w:r>
      <w:r>
        <w:rPr>
          <w:rFonts w:ascii="Times New Roman" w:hAnsi="Times New Roman"/>
          <w:sz w:val="28"/>
        </w:rPr>
        <w:t xml:space="preserve">Комиссия в течение 3 рабочих дней с момента получения заявок рассматривает представленные участниками отбора, допущенными к конкурсу, </w:t>
      </w:r>
      <w:r>
        <w:rPr>
          <w:rFonts w:ascii="Times New Roman" w:hAnsi="Times New Roman"/>
          <w:sz w:val="28"/>
        </w:rPr>
        <w:t>заявки и приложенные к ним документы</w:t>
      </w:r>
      <w:r>
        <w:rPr>
          <w:rFonts w:ascii="Times New Roman" w:hAnsi="Times New Roman"/>
          <w:sz w:val="28"/>
        </w:rPr>
        <w:t xml:space="preserve"> в очередности по дате их поступления, осуществляет их оценку и по результатам их рассмотрения и оценки формирует перечни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участников отбора с указанием присвоенных порядковых им номеров, количества набранных баллов, ранжированные от максимального до минимального значения.</w:t>
      </w:r>
    </w:p>
    <w:p w14:paraId="05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63. </w:t>
      </w:r>
      <w:r>
        <w:rPr>
          <w:rFonts w:ascii="Times New Roman" w:hAnsi="Times New Roman"/>
          <w:sz w:val="28"/>
        </w:rPr>
        <w:t xml:space="preserve">Критерии оценки </w:t>
      </w:r>
      <w:r>
        <w:rPr>
          <w:rFonts w:ascii="Times New Roman" w:hAnsi="Times New Roman"/>
          <w:sz w:val="28"/>
        </w:rPr>
        <w:t>заявок определены в приложении 2</w:t>
      </w:r>
      <w:r>
        <w:rPr>
          <w:rFonts w:ascii="Times New Roman" w:hAnsi="Times New Roman"/>
          <w:sz w:val="28"/>
        </w:rPr>
        <w:t xml:space="preserve"> к настоящему Порядку.</w:t>
      </w:r>
    </w:p>
    <w:p w14:paraId="06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64. </w:t>
      </w:r>
      <w:r>
        <w:rPr>
          <w:rFonts w:ascii="Times New Roman" w:hAnsi="Times New Roman"/>
          <w:sz w:val="28"/>
        </w:rPr>
        <w:t xml:space="preserve">Итоговая оценка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формируется посредством определения среднего значения общего количества баллов, определенных всеми членами комиссии.</w:t>
      </w:r>
    </w:p>
    <w:p w14:paraId="07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65. </w:t>
      </w:r>
      <w:r>
        <w:rPr>
          <w:rFonts w:ascii="Times New Roman" w:hAnsi="Times New Roman"/>
          <w:sz w:val="28"/>
        </w:rPr>
        <w:t xml:space="preserve">Решения комиссии по результатам рассмотрения и оценки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оформляются не позднее 2 рабочих дней со дня оконча</w:t>
      </w:r>
      <w:r>
        <w:rPr>
          <w:rFonts w:ascii="Times New Roman" w:hAnsi="Times New Roman"/>
          <w:sz w:val="28"/>
        </w:rPr>
        <w:t>ния срока, указанного в части 62</w:t>
      </w:r>
      <w:r>
        <w:rPr>
          <w:rFonts w:ascii="Times New Roman" w:hAnsi="Times New Roman"/>
          <w:sz w:val="28"/>
        </w:rPr>
        <w:t xml:space="preserve"> настоящего Порядка, протоколом заседания комиссии, который подписывается всеми членами комиссии и передается в Министерство нарочно.</w:t>
      </w:r>
    </w:p>
    <w:p w14:paraId="08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66. </w:t>
      </w:r>
      <w:r>
        <w:rPr>
          <w:rFonts w:ascii="Times New Roman" w:hAnsi="Times New Roman"/>
          <w:sz w:val="28"/>
        </w:rPr>
        <w:t xml:space="preserve">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заявок. </w:t>
      </w:r>
    </w:p>
    <w:p w14:paraId="09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Ранжирование </w:t>
      </w:r>
      <w:r>
        <w:rPr>
          <w:rFonts w:ascii="Times New Roman" w:hAnsi="Times New Roman"/>
          <w:sz w:val="28"/>
        </w:rPr>
        <w:t>поступивших заявок</w:t>
      </w:r>
      <w:r>
        <w:rPr>
          <w:rFonts w:ascii="Times New Roman" w:hAnsi="Times New Roman"/>
          <w:sz w:val="28"/>
        </w:rPr>
        <w:t xml:space="preserve"> определяется по мере уменьшения полученных баллов по итогам оценки и очередности поступления заявок в случае равенства количества полученных баллов.</w:t>
      </w:r>
    </w:p>
    <w:p w14:paraId="0A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целях завершения </w:t>
      </w:r>
      <w:r>
        <w:rPr>
          <w:rFonts w:ascii="Times New Roman" w:hAnsi="Times New Roman"/>
          <w:sz w:val="28"/>
        </w:rPr>
        <w:t>отбора и определения победителя</w:t>
      </w:r>
      <w:r>
        <w:rPr>
          <w:rFonts w:ascii="Times New Roman" w:hAnsi="Times New Roman"/>
          <w:sz w:val="28"/>
        </w:rPr>
        <w:t xml:space="preserve"> отбора Министерство не позднее 5 рабочих дней со дня получения протокола заседания комиссии формирует протокол подведения итогов отбора.</w:t>
      </w:r>
    </w:p>
    <w:p w14:paraId="0B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67. Предельное количество победителей отбора, в отношении которых Министерством принимается решение о заключении Соглашения, составляет не более 1.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68. </w:t>
      </w:r>
      <w:r>
        <w:rPr>
          <w:rFonts w:ascii="Times New Roman" w:hAnsi="Times New Roman"/>
          <w:color w:val="000000"/>
          <w:sz w:val="28"/>
          <w:highlight w:val="white"/>
        </w:rPr>
        <w:t>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0D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считается отмененным со дня размещения объявления о его отмене на официальном сайте</w:t>
      </w:r>
      <w:r>
        <w:rPr>
          <w:rFonts w:ascii="Times New Roman" w:hAnsi="Times New Roman"/>
          <w:sz w:val="28"/>
        </w:rPr>
        <w:t xml:space="preserve"> Министерства</w:t>
      </w:r>
      <w:r>
        <w:rPr>
          <w:rFonts w:ascii="Times New Roman" w:hAnsi="Times New Roman"/>
          <w:sz w:val="28"/>
        </w:rPr>
        <w:t xml:space="preserve"> (с размещением указателя страницы сайта на едином портале). </w:t>
      </w:r>
    </w:p>
    <w:p w14:paraId="0E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Министерством объявления об отмене проведения отбора на официальном сайте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(с размещением указателя страницы сайта на едином портале) допускается не позднее чем за 1 рабочий день до даты окончания срока подачи заявок участниками отбора. </w:t>
      </w:r>
    </w:p>
    <w:p w14:paraId="0F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Участники отбора, подавшие заявки, информируются об отмене проведения отбора путем размещения объявления об отмене отбора на официальном сайте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(с размещением указателя страницы сайта на едином портале)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10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69. </w:t>
      </w:r>
      <w:r>
        <w:rPr>
          <w:rFonts w:ascii="Times New Roman" w:hAnsi="Times New Roman"/>
          <w:sz w:val="28"/>
        </w:rPr>
        <w:t xml:space="preserve">Отбор признается несостоявшимся в следующих случаях: </w:t>
      </w:r>
    </w:p>
    <w:p w14:paraId="11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окончании срока подачи заявок не подано ни одной заявки; </w:t>
      </w:r>
    </w:p>
    <w:p w14:paraId="12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13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70. </w:t>
      </w:r>
      <w:r>
        <w:rPr>
          <w:rFonts w:ascii="Times New Roman" w:hAnsi="Times New Roman"/>
          <w:sz w:val="28"/>
        </w:rPr>
        <w:t>Протокол подведения итогов отбора размещается Министерством не позднее 14-го календарного дня, следующего за днем определения победител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отбора, на едином портале и на официальном сайте</w:t>
      </w:r>
      <w:r>
        <w:rPr>
          <w:rFonts w:ascii="Times New Roman" w:hAnsi="Times New Roman"/>
          <w:sz w:val="28"/>
        </w:rPr>
        <w:t xml:space="preserve"> Министерства</w:t>
      </w:r>
      <w:r>
        <w:rPr>
          <w:rFonts w:ascii="Times New Roman" w:hAnsi="Times New Roman"/>
          <w:sz w:val="28"/>
        </w:rPr>
        <w:t xml:space="preserve"> и включает следующие сведения: </w:t>
      </w:r>
    </w:p>
    <w:p w14:paraId="14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15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дату, время и место оценки заявок; </w:t>
      </w:r>
    </w:p>
    <w:p w14:paraId="16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информацию об участниках отбора, заявки которых были рассмотрены; </w:t>
      </w:r>
    </w:p>
    <w:p w14:paraId="17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</w:t>
      </w:r>
    </w:p>
    <w:p w14:paraId="18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наименование получателя субсидии, с которым заключается Соглашение и размер предоставляемой ему субсидии; </w:t>
      </w:r>
    </w:p>
    <w:p w14:paraId="19010000">
      <w:pPr>
        <w:pStyle w:val="Style_6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6) последовательность оценки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участников отбора, присвоенные </w:t>
      </w:r>
      <w:r>
        <w:rPr>
          <w:rFonts w:ascii="Times New Roman" w:hAnsi="Times New Roman"/>
          <w:sz w:val="28"/>
        </w:rPr>
        <w:t>заявкам</w:t>
      </w:r>
      <w:r>
        <w:rPr>
          <w:rFonts w:ascii="Times New Roman" w:hAnsi="Times New Roman"/>
          <w:sz w:val="28"/>
        </w:rPr>
        <w:t xml:space="preserve"> участников отбора значения по каждому из предусмотренных критериев оценки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участников отбора, принятое на основании результатов оценки указанных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решение о присвоении таким </w:t>
      </w:r>
      <w:r>
        <w:rPr>
          <w:rFonts w:ascii="Times New Roman" w:hAnsi="Times New Roman"/>
          <w:sz w:val="28"/>
        </w:rPr>
        <w:t>заявкам</w:t>
      </w:r>
      <w:r>
        <w:rPr>
          <w:rFonts w:ascii="Times New Roman" w:hAnsi="Times New Roman"/>
          <w:sz w:val="28"/>
        </w:rPr>
        <w:t xml:space="preserve"> порядковых номеров.</w:t>
      </w:r>
    </w:p>
    <w:p w14:paraId="1A010000">
      <w:pPr>
        <w:sectPr>
          <w:pgSz w:h="16838" w:orient="portrait" w:w="11906"/>
          <w:pgMar w:bottom="1134" w:footer="709" w:gutter="0" w:header="567" w:left="1418" w:right="851" w:top="1134"/>
          <w:pgNumType w:start="2"/>
        </w:sectPr>
      </w:pPr>
    </w:p>
    <w:p w14:paraId="1B010000">
      <w:pPr>
        <w:widowControl w:val="0"/>
        <w:spacing w:after="0" w:line="240" w:lineRule="auto"/>
        <w:ind w:firstLine="0" w:left="46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в 2024 году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из краевого бюджета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затрат, связанных с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z w:val="28"/>
        </w:rPr>
        <w:t xml:space="preserve"> работ 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</w:t>
      </w:r>
      <w:r>
        <w:rPr>
          <w:rFonts w:ascii="Times New Roman" w:hAnsi="Times New Roman"/>
          <w:sz w:val="28"/>
        </w:rPr>
        <w:t>и</w:t>
      </w:r>
    </w:p>
    <w:p w14:paraId="1C01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1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1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получателей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краевого бюджета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затрат, </w:t>
      </w:r>
      <w:r>
        <w:rPr>
          <w:rFonts w:ascii="Times New Roman" w:hAnsi="Times New Roman"/>
          <w:sz w:val="28"/>
        </w:rPr>
        <w:t xml:space="preserve">связанных с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z w:val="28"/>
        </w:rPr>
        <w:t xml:space="preserve"> работ 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линии связи</w:t>
      </w:r>
    </w:p>
    <w:p w14:paraId="2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562"/>
        <w:gridCol w:w="5856"/>
        <w:gridCol w:w="3209"/>
      </w:tblGrid>
      <w:tr>
        <w:trPr>
          <w:tblHeader/>
        </w:trPr>
        <w:tc>
          <w:tcPr>
            <w:tcW w:type="dxa" w:w="562"/>
            <w:vAlign w:val="center"/>
          </w:tcPr>
          <w:p w14:paraId="2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856"/>
            <w:vAlign w:val="center"/>
          </w:tcPr>
          <w:p w14:paraId="2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3209"/>
            <w:vAlign w:val="center"/>
          </w:tcPr>
          <w:p w14:paraId="2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заполнения</w:t>
            </w:r>
          </w:p>
        </w:tc>
      </w:tr>
      <w:tr>
        <w:trPr>
          <w:tblHeader/>
        </w:trPr>
        <w:tc>
          <w:tcPr>
            <w:tcW w:type="dxa" w:w="562"/>
            <w:vAlign w:val="center"/>
          </w:tcPr>
          <w:p w14:paraId="2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56"/>
            <w:vAlign w:val="center"/>
          </w:tcPr>
          <w:p w14:paraId="2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09"/>
            <w:vAlign w:val="center"/>
          </w:tcPr>
          <w:p w14:paraId="2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14:paraId="2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4"/>
        <w:tblLayout w:type="fixed"/>
      </w:tblPr>
      <w:tblGrid>
        <w:gridCol w:w="562"/>
        <w:gridCol w:w="5856"/>
        <w:gridCol w:w="3209"/>
      </w:tblGrid>
      <w:tr>
        <w:tc>
          <w:tcPr>
            <w:tcW w:type="dxa" w:w="562"/>
            <w:vAlign w:val="center"/>
          </w:tcPr>
          <w:p w14:paraId="2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856"/>
            <w:vAlign w:val="center"/>
          </w:tcPr>
          <w:p w14:paraId="29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 руководителя</w:t>
            </w:r>
          </w:p>
        </w:tc>
        <w:tc>
          <w:tcPr>
            <w:tcW w:type="dxa" w:w="3209"/>
          </w:tcPr>
          <w:p w14:paraId="2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2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856"/>
            <w:vAlign w:val="center"/>
          </w:tcPr>
          <w:p w14:paraId="2C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</w:rPr>
              <w:t xml:space="preserve"> (при наличии)</w:t>
            </w:r>
            <w:r>
              <w:rPr>
                <w:rFonts w:ascii="Times New Roman" w:hAnsi="Times New Roman"/>
                <w:sz w:val="24"/>
              </w:rPr>
              <w:t xml:space="preserve"> руководителя </w:t>
            </w:r>
          </w:p>
        </w:tc>
        <w:tc>
          <w:tcPr>
            <w:tcW w:type="dxa" w:w="3209"/>
          </w:tcPr>
          <w:p w14:paraId="2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2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856"/>
            <w:vAlign w:val="center"/>
          </w:tcPr>
          <w:p w14:paraId="2F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type="dxa" w:w="3209"/>
          </w:tcPr>
          <w:p w14:paraId="3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3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856"/>
            <w:vAlign w:val="center"/>
          </w:tcPr>
          <w:p w14:paraId="32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почтовый адрес организации</w:t>
            </w:r>
          </w:p>
        </w:tc>
        <w:tc>
          <w:tcPr>
            <w:tcW w:type="dxa" w:w="3209"/>
          </w:tcPr>
          <w:p w14:paraId="3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3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856"/>
            <w:vAlign w:val="center"/>
          </w:tcPr>
          <w:p w14:paraId="35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организации</w:t>
            </w:r>
          </w:p>
        </w:tc>
        <w:tc>
          <w:tcPr>
            <w:tcW w:type="dxa" w:w="3209"/>
          </w:tcPr>
          <w:p w14:paraId="3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3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856"/>
            <w:vAlign w:val="center"/>
          </w:tcPr>
          <w:p w14:paraId="38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 организации</w:t>
            </w:r>
          </w:p>
        </w:tc>
        <w:tc>
          <w:tcPr>
            <w:tcW w:type="dxa" w:w="3209"/>
          </w:tcPr>
          <w:p w14:paraId="3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3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5856"/>
            <w:vAlign w:val="center"/>
          </w:tcPr>
          <w:p w14:paraId="3B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осуществления деятельности организации с момента государственной регистрации</w:t>
            </w:r>
          </w:p>
        </w:tc>
        <w:tc>
          <w:tcPr>
            <w:tcW w:type="dxa" w:w="3209"/>
          </w:tcPr>
          <w:p w14:paraId="3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3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  <w:vAlign w:val="center"/>
          </w:tcPr>
          <w:p w14:paraId="3E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Применяемая система налогообложения</w:t>
            </w:r>
          </w:p>
        </w:tc>
        <w:tc>
          <w:tcPr>
            <w:tcW w:type="dxa" w:w="3209"/>
          </w:tcPr>
          <w:p w14:paraId="3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4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  <w:vAlign w:val="center"/>
          </w:tcPr>
          <w:p w14:paraId="41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уплаченных налоговых платежей и страховых взносов в 2023 году</w:t>
            </w:r>
          </w:p>
        </w:tc>
        <w:tc>
          <w:tcPr>
            <w:tcW w:type="dxa" w:w="3209"/>
          </w:tcPr>
          <w:p w14:paraId="4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4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  <w:vAlign w:val="center"/>
          </w:tcPr>
          <w:p w14:paraId="44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стоимость реализации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присоединению населенных пунктов Карагинского муниципального района (село </w:t>
            </w:r>
            <w:r>
              <w:rPr>
                <w:rFonts w:ascii="Times New Roman" w:hAnsi="Times New Roman"/>
                <w:sz w:val="24"/>
              </w:rPr>
              <w:t>Карага</w:t>
            </w:r>
            <w:r>
              <w:rPr>
                <w:rFonts w:ascii="Times New Roman" w:hAnsi="Times New Roman"/>
                <w:sz w:val="24"/>
              </w:rPr>
              <w:t xml:space="preserve">, село Кострома, село </w:t>
            </w:r>
            <w:r>
              <w:rPr>
                <w:rFonts w:ascii="Times New Roman" w:hAnsi="Times New Roman"/>
                <w:sz w:val="24"/>
              </w:rPr>
              <w:t>Тымлат</w:t>
            </w:r>
            <w:r>
              <w:rPr>
                <w:rFonts w:ascii="Times New Roman" w:hAnsi="Times New Roman"/>
                <w:sz w:val="24"/>
              </w:rPr>
              <w:t xml:space="preserve">) к </w:t>
            </w:r>
            <w:r>
              <w:rPr>
                <w:rFonts w:ascii="Times New Roman" w:hAnsi="Times New Roman"/>
                <w:sz w:val="24"/>
              </w:rPr>
              <w:t>зоновой</w:t>
            </w:r>
            <w:r>
              <w:rPr>
                <w:rFonts w:ascii="Times New Roman" w:hAnsi="Times New Roman"/>
                <w:sz w:val="24"/>
              </w:rPr>
              <w:t xml:space="preserve"> волоконно-оптической линии связи</w:t>
            </w:r>
          </w:p>
        </w:tc>
        <w:tc>
          <w:tcPr>
            <w:tcW w:type="dxa" w:w="3209"/>
          </w:tcPr>
          <w:p w14:paraId="4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4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  <w:vAlign w:val="center"/>
          </w:tcPr>
          <w:p w14:paraId="47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фонд оплаты труда сотрудников в 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году</w:t>
            </w:r>
          </w:p>
        </w:tc>
        <w:tc>
          <w:tcPr>
            <w:tcW w:type="dxa" w:w="3209"/>
          </w:tcPr>
          <w:p w14:paraId="4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4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  <w:vAlign w:val="center"/>
          </w:tcPr>
          <w:p w14:paraId="4A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Среднесписочная численность работников, человек</w:t>
            </w:r>
          </w:p>
        </w:tc>
        <w:tc>
          <w:tcPr>
            <w:tcW w:type="dxa" w:w="3209"/>
          </w:tcPr>
          <w:p w14:paraId="4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4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  <w:vAlign w:val="center"/>
          </w:tcPr>
          <w:p w14:paraId="4D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Среднесписочная заработная плата на одного работника, рублей</w:t>
            </w:r>
          </w:p>
        </w:tc>
        <w:tc>
          <w:tcPr>
            <w:tcW w:type="dxa" w:w="3209"/>
          </w:tcPr>
          <w:p w14:paraId="4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4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  <w:vAlign w:val="center"/>
          </w:tcPr>
          <w:p w14:paraId="50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денежных средств (в том числе ожидаемые) собственные средства/заемные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>/средства субсидии</w:t>
            </w:r>
          </w:p>
        </w:tc>
        <w:tc>
          <w:tcPr>
            <w:tcW w:type="dxa" w:w="3209"/>
          </w:tcPr>
          <w:p w14:paraId="5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5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  <w:vAlign w:val="center"/>
          </w:tcPr>
          <w:p w14:paraId="53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реализованных аналогичных проектов (обеспечение домохозяйств населенных пунктов возможностью доступа к сети Интернет)</w:t>
            </w:r>
          </w:p>
        </w:tc>
        <w:tc>
          <w:tcPr>
            <w:tcW w:type="dxa" w:w="3209"/>
          </w:tcPr>
          <w:p w14:paraId="5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5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  <w:vAlign w:val="center"/>
          </w:tcPr>
          <w:p w14:paraId="56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магистральных узлов доступа на территории Камчатского края</w:t>
            </w:r>
          </w:p>
        </w:tc>
        <w:tc>
          <w:tcPr>
            <w:tcW w:type="dxa" w:w="3209"/>
          </w:tcPr>
          <w:p w14:paraId="5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vAlign w:val="center"/>
          </w:tcPr>
          <w:p w14:paraId="5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5856"/>
            <w:vAlign w:val="center"/>
          </w:tcPr>
          <w:p w14:paraId="59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потребителей (абонентов) услуг фиксированного широкополосного доступа к сети Интернет на территории Камчатского края</w:t>
            </w:r>
          </w:p>
        </w:tc>
        <w:tc>
          <w:tcPr>
            <w:tcW w:type="dxa" w:w="3209"/>
          </w:tcPr>
          <w:p w14:paraId="5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5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</w:tcPr>
          <w:p w14:paraId="5C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роки реализации проекта</w:t>
            </w:r>
          </w:p>
        </w:tc>
        <w:tc>
          <w:tcPr>
            <w:tcW w:type="dxa" w:w="3209"/>
          </w:tcPr>
          <w:p w14:paraId="5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5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</w:tcPr>
          <w:p w14:paraId="5F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</w:t>
            </w:r>
          </w:p>
        </w:tc>
        <w:tc>
          <w:tcPr>
            <w:tcW w:type="dxa" w:w="3209"/>
          </w:tcPr>
          <w:p w14:paraId="6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6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</w:tcPr>
          <w:p w14:paraId="62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банка</w:t>
            </w:r>
          </w:p>
        </w:tc>
        <w:tc>
          <w:tcPr>
            <w:tcW w:type="dxa" w:w="3209"/>
          </w:tcPr>
          <w:p w14:paraId="6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6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</w:tcPr>
          <w:p w14:paraId="65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</w:p>
        </w:tc>
        <w:tc>
          <w:tcPr>
            <w:tcW w:type="dxa" w:w="3209"/>
          </w:tcPr>
          <w:p w14:paraId="6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6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56"/>
          </w:tcPr>
          <w:p w14:paraId="68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type="dxa" w:w="3209"/>
          </w:tcPr>
          <w:p w14:paraId="6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A010000">
      <w:pPr>
        <w:pStyle w:val="Style_8"/>
        <w:ind/>
        <w:jc w:val="both"/>
      </w:pPr>
      <w:r>
        <w:t>Перечень прилагаемых документов:</w:t>
      </w:r>
    </w:p>
    <w:p w14:paraId="6B010000">
      <w:pPr>
        <w:pStyle w:val="Style_8"/>
        <w:ind/>
        <w:jc w:val="both"/>
      </w:pPr>
      <w:r>
        <w:t>1)</w:t>
      </w:r>
      <w:r>
        <w:t xml:space="preserve"> __________________________________________________________________</w:t>
      </w:r>
    </w:p>
    <w:p w14:paraId="6C010000">
      <w:pPr>
        <w:pStyle w:val="Style_8"/>
        <w:ind/>
        <w:jc w:val="both"/>
      </w:pPr>
      <w:r>
        <w:t>2)</w:t>
      </w:r>
      <w:r>
        <w:t xml:space="preserve"> __________________________________________________________________</w:t>
      </w:r>
    </w:p>
    <w:p w14:paraId="6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6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подтверждаю, что с условиями предоставления субсидии ознакомлен(а) и согласен(а).</w:t>
      </w:r>
    </w:p>
    <w:p w14:paraId="6F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  _____________  _____________</w:t>
      </w:r>
    </w:p>
    <w:p w14:paraId="70010000">
      <w:pPr>
        <w:widowControl w:val="0"/>
        <w:spacing w:after="0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(наименование должности руководителя </w:t>
      </w:r>
      <w:r>
        <w:rPr>
          <w:rFonts w:ascii="Times New Roman" w:hAnsi="Times New Roman"/>
          <w:sz w:val="28"/>
          <w:vertAlign w:val="superscript"/>
        </w:rPr>
        <w:t xml:space="preserve">организации)   </w:t>
      </w:r>
      <w:r>
        <w:rPr>
          <w:rFonts w:ascii="Times New Roman" w:hAnsi="Times New Roman"/>
          <w:sz w:val="28"/>
          <w:vertAlign w:val="superscript"/>
        </w:rPr>
        <w:t xml:space="preserve">                            </w:t>
      </w:r>
      <w:r>
        <w:rPr>
          <w:rFonts w:ascii="Times New Roman" w:hAnsi="Times New Roman"/>
          <w:sz w:val="28"/>
          <w:vertAlign w:val="superscript"/>
        </w:rPr>
        <w:t xml:space="preserve">       </w:t>
      </w:r>
      <w:r>
        <w:rPr>
          <w:rFonts w:ascii="Times New Roman" w:hAnsi="Times New Roman"/>
          <w:sz w:val="28"/>
          <w:vertAlign w:val="superscript"/>
        </w:rPr>
        <w:t xml:space="preserve"> (подпись)                          (фамилия, инициалы)</w:t>
      </w:r>
    </w:p>
    <w:p w14:paraId="71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72010000">
      <w:pPr>
        <w:widowControl w:val="0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</w:t>
      </w:r>
      <w:r>
        <w:rPr>
          <w:rFonts w:ascii="Times New Roman" w:hAnsi="Times New Roman"/>
          <w:sz w:val="28"/>
        </w:rPr>
        <w:t xml:space="preserve"> _______________ 20___</w:t>
      </w:r>
      <w:r>
        <w:rPr>
          <w:rFonts w:ascii="Times New Roman" w:hAnsi="Times New Roman"/>
          <w:sz w:val="28"/>
        </w:rPr>
        <w:t>г.</w:t>
      </w:r>
    </w:p>
    <w:p w14:paraId="73010000">
      <w:pPr>
        <w:sectPr>
          <w:pgSz w:h="16838" w:orient="portrait" w:w="11906"/>
          <w:pgMar w:bottom="964" w:footer="709" w:gutter="0" w:header="567" w:left="1418" w:right="851" w:top="1021"/>
          <w:pgNumType w:start="18"/>
        </w:sectPr>
      </w:pPr>
    </w:p>
    <w:p w14:paraId="74010000">
      <w:pPr>
        <w:widowControl w:val="0"/>
        <w:spacing w:after="0" w:line="240" w:lineRule="auto"/>
        <w:ind w:firstLine="0" w:left="46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 предоставления в 2024 году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из краевого бюджета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затрат, </w:t>
      </w:r>
      <w:r>
        <w:rPr>
          <w:rFonts w:ascii="Times New Roman" w:hAnsi="Times New Roman"/>
          <w:sz w:val="28"/>
        </w:rPr>
        <w:t xml:space="preserve">связанных с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z w:val="28"/>
        </w:rPr>
        <w:t xml:space="preserve"> работ 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</w:t>
      </w:r>
      <w:r>
        <w:rPr>
          <w:rFonts w:ascii="Times New Roman" w:hAnsi="Times New Roman"/>
          <w:sz w:val="28"/>
        </w:rPr>
        <w:t>и</w:t>
      </w:r>
    </w:p>
    <w:p w14:paraId="75010000">
      <w:pPr>
        <w:widowControl w:val="0"/>
        <w:spacing w:after="0"/>
        <w:ind/>
        <w:rPr>
          <w:rFonts w:ascii="Times New Roman" w:hAnsi="Times New Roman"/>
          <w:sz w:val="28"/>
        </w:rPr>
      </w:pPr>
    </w:p>
    <w:p w14:paraId="7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</w:t>
      </w:r>
    </w:p>
    <w:p w14:paraId="7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заявок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участия в отборе</w:t>
      </w:r>
      <w:r>
        <w:rPr>
          <w:rFonts w:ascii="Times New Roman" w:hAnsi="Times New Roman"/>
          <w:sz w:val="28"/>
        </w:rPr>
        <w:t xml:space="preserve"> получателей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краевого бюджета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затрат, </w:t>
      </w:r>
      <w:r>
        <w:rPr>
          <w:rFonts w:ascii="Times New Roman" w:hAnsi="Times New Roman"/>
          <w:sz w:val="28"/>
        </w:rPr>
        <w:t xml:space="preserve">связанных с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z w:val="28"/>
        </w:rPr>
        <w:t xml:space="preserve"> работ по присоединению населенных пунктов Карагинского муниципального района (село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 xml:space="preserve">, село Кострома, село </w:t>
      </w:r>
      <w:r>
        <w:rPr>
          <w:rFonts w:ascii="Times New Roman" w:hAnsi="Times New Roman"/>
          <w:sz w:val="28"/>
        </w:rPr>
        <w:t>Тымлат</w:t>
      </w:r>
      <w:r>
        <w:rPr>
          <w:rFonts w:ascii="Times New Roman" w:hAnsi="Times New Roman"/>
          <w:sz w:val="28"/>
        </w:rPr>
        <w:t xml:space="preserve">) к </w:t>
      </w:r>
      <w:r>
        <w:rPr>
          <w:rFonts w:ascii="Times New Roman" w:hAnsi="Times New Roman"/>
          <w:sz w:val="28"/>
        </w:rPr>
        <w:t>зоновой</w:t>
      </w:r>
      <w:r>
        <w:rPr>
          <w:rFonts w:ascii="Times New Roman" w:hAnsi="Times New Roman"/>
          <w:sz w:val="28"/>
        </w:rPr>
        <w:t xml:space="preserve"> волоконно-оптической линии связи</w:t>
      </w:r>
    </w:p>
    <w:p w14:paraId="7801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553"/>
        <w:gridCol w:w="3270"/>
        <w:gridCol w:w="1701"/>
        <w:gridCol w:w="4103"/>
      </w:tblGrid>
      <w:tr>
        <w:trPr>
          <w:tblHeader/>
        </w:trPr>
        <w:tc>
          <w:tcPr>
            <w:tcW w:type="dxa" w:w="553"/>
            <w:vAlign w:val="center"/>
          </w:tcPr>
          <w:p w14:paraId="7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270"/>
            <w:vAlign w:val="center"/>
          </w:tcPr>
          <w:p w14:paraId="7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1701"/>
          </w:tcPr>
          <w:p w14:paraId="7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информации для оценки</w:t>
            </w:r>
          </w:p>
        </w:tc>
        <w:tc>
          <w:tcPr>
            <w:tcW w:type="dxa" w:w="4103"/>
            <w:vAlign w:val="center"/>
          </w:tcPr>
          <w:p w14:paraId="7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заполнения</w:t>
            </w:r>
          </w:p>
        </w:tc>
      </w:tr>
      <w:tr>
        <w:trPr>
          <w:tblHeader/>
        </w:trPr>
        <w:tc>
          <w:tcPr>
            <w:tcW w:type="dxa" w:w="553"/>
            <w:vAlign w:val="center"/>
          </w:tcPr>
          <w:p w14:paraId="7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70"/>
            <w:vAlign w:val="center"/>
          </w:tcPr>
          <w:p w14:paraId="7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</w:tcPr>
          <w:p w14:paraId="7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103"/>
            <w:vAlign w:val="center"/>
          </w:tcPr>
          <w:p w14:paraId="8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81010000">
      <w:pPr>
        <w:widowControl w:val="0"/>
        <w:spacing w:after="0"/>
        <w:ind/>
        <w:jc w:val="center"/>
        <w:rPr>
          <w:rFonts w:ascii="Times New Roman" w:hAnsi="Times New Roman"/>
          <w:sz w:val="2"/>
        </w:rPr>
      </w:pPr>
    </w:p>
    <w:tbl>
      <w:tblPr>
        <w:tblStyle w:val="Style_4"/>
        <w:tblLayout w:type="fixed"/>
      </w:tblPr>
      <w:tblGrid>
        <w:gridCol w:w="562"/>
        <w:gridCol w:w="3261"/>
        <w:gridCol w:w="1701"/>
        <w:gridCol w:w="4103"/>
      </w:tblGrid>
      <w:tr>
        <w:tc>
          <w:tcPr>
            <w:tcW w:type="dxa" w:w="562"/>
            <w:vAlign w:val="center"/>
          </w:tcPr>
          <w:p w14:paraId="8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61"/>
            <w:vAlign w:val="center"/>
          </w:tcPr>
          <w:p w14:paraId="83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опыта успешной реализации проектов по созданию волоконно-оптической линии связи с обеспечением возможности подключения к сети Интернет домохозяйствам, расположенным в населенных пунктах Камчатского края</w:t>
            </w:r>
          </w:p>
        </w:tc>
        <w:tc>
          <w:tcPr>
            <w:tcW w:type="dxa" w:w="1701"/>
          </w:tcPr>
          <w:p w14:paraId="8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9 заявки</w:t>
            </w:r>
          </w:p>
        </w:tc>
        <w:tc>
          <w:tcPr>
            <w:tcW w:type="dxa" w:w="4103"/>
          </w:tcPr>
          <w:p w14:paraId="85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>
              <w:rPr>
                <w:rFonts w:ascii="Times New Roman" w:hAnsi="Times New Roman"/>
                <w:sz w:val="24"/>
              </w:rPr>
              <w:t>отсутствует соответствующий опыт</w:t>
            </w:r>
            <w:r>
              <w:rPr>
                <w:rFonts w:ascii="Times New Roman" w:hAnsi="Times New Roman"/>
                <w:sz w:val="24"/>
              </w:rPr>
              <w:t xml:space="preserve"> – 0 баллов; </w:t>
            </w:r>
          </w:p>
          <w:p w14:paraId="86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</w:t>
            </w:r>
            <w:r>
              <w:rPr>
                <w:rFonts w:ascii="Times New Roman" w:hAnsi="Times New Roman"/>
                <w:sz w:val="24"/>
              </w:rPr>
              <w:t>от 1 до 2 проектов</w:t>
            </w:r>
            <w:r>
              <w:rPr>
                <w:rFonts w:ascii="Times New Roman" w:hAnsi="Times New Roman"/>
                <w:sz w:val="24"/>
              </w:rPr>
              <w:t xml:space="preserve"> – 1 балл; </w:t>
            </w:r>
          </w:p>
          <w:p w14:paraId="87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 и более проектов</w:t>
            </w:r>
            <w:r>
              <w:rPr>
                <w:rFonts w:ascii="Times New Roman" w:hAnsi="Times New Roman"/>
                <w:sz w:val="24"/>
              </w:rPr>
              <w:t xml:space="preserve"> – 2 балла</w:t>
            </w:r>
          </w:p>
        </w:tc>
      </w:tr>
      <w:tr>
        <w:tc>
          <w:tcPr>
            <w:tcW w:type="dxa" w:w="562"/>
            <w:vAlign w:val="center"/>
          </w:tcPr>
          <w:p w14:paraId="8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61"/>
            <w:vAlign w:val="center"/>
          </w:tcPr>
          <w:p w14:paraId="8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собственной сети магистральных узлов доступа на территории Камчатского края</w:t>
            </w:r>
          </w:p>
          <w:p w14:paraId="8A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8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10 заявки</w:t>
            </w:r>
          </w:p>
        </w:tc>
        <w:tc>
          <w:tcPr>
            <w:tcW w:type="dxa" w:w="4103"/>
          </w:tcPr>
          <w:p w14:paraId="8C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менее 2 магистральных узлов доступа</w:t>
            </w:r>
            <w:r>
              <w:rPr>
                <w:rFonts w:ascii="Times New Roman" w:hAnsi="Times New Roman"/>
                <w:sz w:val="24"/>
              </w:rPr>
              <w:t xml:space="preserve"> – 0 баллов;</w:t>
            </w:r>
          </w:p>
          <w:p w14:paraId="8D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от </w:t>
            </w:r>
            <w:r>
              <w:rPr>
                <w:rFonts w:ascii="Times New Roman" w:hAnsi="Times New Roman"/>
                <w:sz w:val="24"/>
              </w:rPr>
              <w:t>2 до 5 магистральных узлов доступа – 1 балл;</w:t>
            </w:r>
          </w:p>
          <w:p w14:paraId="8E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  <w:r>
              <w:rPr>
                <w:rFonts w:ascii="Times New Roman" w:hAnsi="Times New Roman"/>
                <w:sz w:val="24"/>
              </w:rPr>
              <w:t>более 5 магистральных узлов доступа</w:t>
            </w:r>
            <w:r>
              <w:rPr>
                <w:rFonts w:ascii="Times New Roman" w:hAnsi="Times New Roman"/>
                <w:sz w:val="24"/>
              </w:rPr>
              <w:t xml:space="preserve"> – 2 балла</w:t>
            </w:r>
          </w:p>
        </w:tc>
      </w:tr>
      <w:tr>
        <w:tc>
          <w:tcPr>
            <w:tcW w:type="dxa" w:w="562"/>
            <w:vAlign w:val="center"/>
          </w:tcPr>
          <w:p w14:paraId="8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261"/>
            <w:vAlign w:val="center"/>
          </w:tcPr>
          <w:p w14:paraId="9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потребителей (абонентов) услуг фиксированного широкополосного доступа к сети Интернет на территории Камчатского края</w:t>
            </w:r>
          </w:p>
        </w:tc>
        <w:tc>
          <w:tcPr>
            <w:tcW w:type="dxa" w:w="1701"/>
          </w:tcPr>
          <w:p w14:paraId="9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строка </w:t>
            </w: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 xml:space="preserve"> заявки</w:t>
            </w:r>
          </w:p>
        </w:tc>
        <w:tc>
          <w:tcPr>
            <w:tcW w:type="dxa" w:w="4103"/>
          </w:tcPr>
          <w:p w14:paraId="92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>
              <w:rPr>
                <w:rFonts w:ascii="Times New Roman" w:hAnsi="Times New Roman"/>
                <w:sz w:val="24"/>
              </w:rPr>
              <w:t>менее 3 000 потребителей (абонентов)</w:t>
            </w:r>
            <w:r>
              <w:rPr>
                <w:rFonts w:ascii="Times New Roman" w:hAnsi="Times New Roman"/>
                <w:sz w:val="24"/>
              </w:rPr>
              <w:t xml:space="preserve"> – 0 балл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3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от </w:t>
            </w:r>
            <w:r>
              <w:rPr>
                <w:rFonts w:ascii="Times New Roman" w:hAnsi="Times New Roman"/>
                <w:sz w:val="24"/>
              </w:rPr>
              <w:t>3 000</w:t>
            </w:r>
            <w:r>
              <w:rPr>
                <w:rFonts w:ascii="Times New Roman" w:hAnsi="Times New Roman"/>
                <w:sz w:val="24"/>
              </w:rPr>
              <w:t xml:space="preserve"> до </w:t>
            </w:r>
            <w:r>
              <w:rPr>
                <w:rFonts w:ascii="Times New Roman" w:hAnsi="Times New Roman"/>
                <w:sz w:val="24"/>
              </w:rPr>
              <w:t>6 000 потребителей (абонентов)</w:t>
            </w:r>
            <w:r>
              <w:rPr>
                <w:rFonts w:ascii="Times New Roman" w:hAnsi="Times New Roman"/>
                <w:sz w:val="24"/>
              </w:rPr>
              <w:t xml:space="preserve"> – 1 балл; </w:t>
            </w:r>
          </w:p>
          <w:p w14:paraId="94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  <w:r>
              <w:rPr>
                <w:rFonts w:ascii="Times New Roman" w:hAnsi="Times New Roman"/>
                <w:sz w:val="24"/>
              </w:rPr>
              <w:t xml:space="preserve">свыше </w:t>
            </w:r>
            <w:r>
              <w:rPr>
                <w:rFonts w:ascii="Times New Roman" w:hAnsi="Times New Roman"/>
                <w:sz w:val="24"/>
              </w:rPr>
              <w:t>6 000 потребителе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(абонентов)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 балла</w:t>
            </w:r>
          </w:p>
        </w:tc>
      </w:tr>
      <w:tr>
        <w:tc>
          <w:tcPr>
            <w:tcW w:type="dxa" w:w="562"/>
            <w:vAlign w:val="center"/>
          </w:tcPr>
          <w:p w14:paraId="9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261"/>
            <w:vAlign w:val="center"/>
          </w:tcPr>
          <w:p w14:paraId="96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роки реализации проекта</w:t>
            </w:r>
          </w:p>
        </w:tc>
        <w:tc>
          <w:tcPr>
            <w:tcW w:type="dxa" w:w="1701"/>
          </w:tcPr>
          <w:p w14:paraId="9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заявки</w:t>
            </w:r>
          </w:p>
        </w:tc>
        <w:tc>
          <w:tcPr>
            <w:tcW w:type="dxa" w:w="4103"/>
          </w:tcPr>
          <w:p w14:paraId="98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более 6 месяцев – 0 баллов; </w:t>
            </w:r>
          </w:p>
          <w:p w14:paraId="99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от 4 до 5 месяцев – 1 балл; </w:t>
            </w:r>
          </w:p>
          <w:p w14:paraId="9A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от 2 до 3 месяцев – 2 балла</w:t>
            </w:r>
          </w:p>
        </w:tc>
      </w:tr>
      <w:tr>
        <w:tc>
          <w:tcPr>
            <w:tcW w:type="dxa" w:w="562"/>
            <w:vAlign w:val="center"/>
          </w:tcPr>
          <w:p w14:paraId="9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261"/>
            <w:vAlign w:val="center"/>
          </w:tcPr>
          <w:p w14:paraId="9C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проработки заявки (эффективность реализации проекта)</w:t>
            </w:r>
          </w:p>
        </w:tc>
        <w:tc>
          <w:tcPr>
            <w:tcW w:type="dxa" w:w="1701"/>
          </w:tcPr>
          <w:p w14:paraId="9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заявка </w:t>
            </w:r>
          </w:p>
        </w:tc>
        <w:tc>
          <w:tcPr>
            <w:tcW w:type="dxa" w:w="4103"/>
          </w:tcPr>
          <w:p w14:paraId="9E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 до 10 баллов</w:t>
            </w:r>
          </w:p>
        </w:tc>
      </w:tr>
    </w:tbl>
    <w:p w14:paraId="9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sectPr>
      <w:pgSz w:h="16838" w:orient="portrait" w:w="11906"/>
      <w:pgMar w:bottom="964" w:footer="709" w:gutter="0" w:header="567" w:left="1418" w:right="851" w:top="1021"/>
      <w:pgNumType w:start="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Style 4"/>
    <w:basedOn w:val="Style_9"/>
    <w:link w:val="Style_15_ch"/>
    <w:pPr>
      <w:widowControl w:val="0"/>
      <w:spacing w:after="0" w:line="230" w:lineRule="exact"/>
      <w:ind/>
    </w:pPr>
    <w:rPr>
      <w:sz w:val="17"/>
    </w:rPr>
  </w:style>
  <w:style w:styleId="Style_15_ch" w:type="character">
    <w:name w:val="Style 4"/>
    <w:basedOn w:val="Style_9_ch"/>
    <w:link w:val="Style_15"/>
    <w:rPr>
      <w:sz w:val="17"/>
    </w:rPr>
  </w:style>
  <w:style w:styleId="Style_16" w:type="paragraph">
    <w:name w:val="Plain Text"/>
    <w:basedOn w:val="Style_9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9_ch"/>
    <w:link w:val="Style_16"/>
    <w:rPr>
      <w:rFonts w:ascii="Calibri" w:hAnsi="Calibri"/>
    </w:rPr>
  </w:style>
  <w:style w:styleId="Style_5" w:type="paragraph">
    <w:name w:val="docdata"/>
    <w:basedOn w:val="Style_17"/>
    <w:link w:val="Style_5_ch"/>
  </w:style>
  <w:style w:styleId="Style_5_ch" w:type="character">
    <w:name w:val="docdata"/>
    <w:basedOn w:val="Style_17_ch"/>
    <w:link w:val="Style_5"/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3"/>
    <w:next w:val="Style_9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9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9_ch"/>
    <w:link w:val="Style_20"/>
    <w:rPr>
      <w:rFonts w:ascii="Segoe UI" w:hAnsi="Segoe UI"/>
      <w:sz w:val="18"/>
    </w:rPr>
  </w:style>
  <w:style w:styleId="Style_21" w:type="paragraph">
    <w:name w:val="ConsPlusTitle"/>
    <w:link w:val="Style_21_ch"/>
    <w:pPr>
      <w:widowControl w:val="0"/>
      <w:spacing w:after="0" w:line="240" w:lineRule="auto"/>
      <w:ind/>
    </w:pPr>
    <w:rPr>
      <w:rFonts w:ascii="Times New Roman" w:hAnsi="Times New Roman"/>
      <w:b w:val="1"/>
      <w:color w:val="000000"/>
      <w:sz w:val="24"/>
    </w:rPr>
  </w:style>
  <w:style w:styleId="Style_21_ch" w:type="character">
    <w:name w:val="ConsPlusTitle"/>
    <w:link w:val="Style_21"/>
    <w:rPr>
      <w:rFonts w:ascii="Times New Roman" w:hAnsi="Times New Roman"/>
      <w:b w:val="1"/>
      <w:color w:val="000000"/>
      <w:sz w:val="24"/>
    </w:rPr>
  </w:style>
  <w:style w:styleId="Style_6" w:type="paragraph">
    <w:name w:val="List Paragraph"/>
    <w:basedOn w:val="Style_9"/>
    <w:link w:val="Style_6_ch"/>
    <w:pPr>
      <w:ind w:firstLine="0" w:left="720"/>
      <w:contextualSpacing w:val="1"/>
    </w:pPr>
  </w:style>
  <w:style w:styleId="Style_6_ch" w:type="character">
    <w:name w:val="List Paragraph"/>
    <w:basedOn w:val="Style_9_ch"/>
    <w:link w:val="Style_6"/>
  </w:style>
  <w:style w:styleId="Style_8" w:type="paragraph">
    <w:name w:val="ConsPlusNormal"/>
    <w:link w:val="Style_8_ch"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8_ch" w:type="character">
    <w:name w:val="ConsPlusNormal"/>
    <w:link w:val="Style_8"/>
    <w:rPr>
      <w:rFonts w:ascii="Times New Roman" w:hAnsi="Times New Roman"/>
      <w:color w:val="000000"/>
      <w:sz w:val="24"/>
    </w:rPr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heading 1"/>
    <w:next w:val="Style_9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9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Normal (Web)"/>
    <w:basedOn w:val="Style_9"/>
    <w:link w:val="Style_2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28_ch" w:type="character">
    <w:name w:val="Normal (Web)"/>
    <w:basedOn w:val="Style_9_ch"/>
    <w:link w:val="Style_28"/>
    <w:rPr>
      <w:rFonts w:ascii="Times New Roman" w:hAnsi="Times New Roman"/>
      <w:color w:val="000000"/>
      <w:sz w:val="24"/>
    </w:rPr>
  </w:style>
  <w:style w:styleId="Style_29" w:type="paragraph">
    <w:name w:val="toc 9"/>
    <w:next w:val="Style_9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Основной текст1"/>
    <w:basedOn w:val="Style_9"/>
    <w:link w:val="Style_30_ch"/>
    <w:pPr>
      <w:widowControl w:val="0"/>
      <w:spacing w:after="0" w:line="288" w:lineRule="auto"/>
      <w:ind w:firstLine="400" w:left="0"/>
    </w:pPr>
    <w:rPr>
      <w:rFonts w:ascii="Times New Roman" w:hAnsi="Times New Roman"/>
      <w:sz w:val="26"/>
    </w:rPr>
  </w:style>
  <w:style w:styleId="Style_30_ch" w:type="character">
    <w:name w:val="Основной текст1"/>
    <w:basedOn w:val="Style_9_ch"/>
    <w:link w:val="Style_30"/>
    <w:rPr>
      <w:rFonts w:ascii="Times New Roman" w:hAnsi="Times New Roman"/>
      <w:sz w:val="26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annotation reference"/>
    <w:basedOn w:val="Style_17"/>
    <w:link w:val="Style_32_ch"/>
    <w:rPr>
      <w:sz w:val="16"/>
    </w:rPr>
  </w:style>
  <w:style w:styleId="Style_32_ch" w:type="character">
    <w:name w:val="annotation reference"/>
    <w:basedOn w:val="Style_17_ch"/>
    <w:link w:val="Style_32"/>
    <w:rPr>
      <w:sz w:val="16"/>
    </w:rPr>
  </w:style>
  <w:style w:styleId="Style_33" w:type="paragraph">
    <w:name w:val="toc 8"/>
    <w:next w:val="Style_9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1661"/>
    <w:basedOn w:val="Style_17"/>
    <w:link w:val="Style_34_ch"/>
  </w:style>
  <w:style w:styleId="Style_34_ch" w:type="character">
    <w:name w:val="1661"/>
    <w:basedOn w:val="Style_17_ch"/>
    <w:link w:val="Style_34"/>
  </w:style>
  <w:style w:styleId="Style_35" w:type="paragraph">
    <w:name w:val="Сноска"/>
    <w:basedOn w:val="Style_9"/>
    <w:link w:val="Style_35_ch"/>
    <w:pPr>
      <w:widowControl w:val="0"/>
      <w:spacing w:after="0" w:line="240" w:lineRule="auto"/>
      <w:ind/>
    </w:pPr>
    <w:rPr>
      <w:rFonts w:ascii="Times New Roman" w:hAnsi="Times New Roman"/>
      <w:sz w:val="17"/>
    </w:rPr>
  </w:style>
  <w:style w:styleId="Style_35_ch" w:type="character">
    <w:name w:val="Сноска"/>
    <w:basedOn w:val="Style_9_ch"/>
    <w:link w:val="Style_35"/>
    <w:rPr>
      <w:rFonts w:ascii="Times New Roman" w:hAnsi="Times New Roman"/>
      <w:sz w:val="17"/>
    </w:rPr>
  </w:style>
  <w:style w:styleId="Style_36" w:type="paragraph">
    <w:name w:val="toc 5"/>
    <w:next w:val="Style_9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Гиперссылка1"/>
    <w:basedOn w:val="Style_31"/>
    <w:link w:val="Style_37_ch"/>
    <w:rPr>
      <w:color w:themeColor="hyperlink" w:val="0563C1"/>
      <w:u w:val="single"/>
    </w:rPr>
  </w:style>
  <w:style w:styleId="Style_37_ch" w:type="character">
    <w:name w:val="Гиперссылка1"/>
    <w:basedOn w:val="Style_31_ch"/>
    <w:link w:val="Style_37"/>
    <w:rPr>
      <w:color w:themeColor="hyperlink" w:val="0563C1"/>
      <w:u w:val="single"/>
    </w:rPr>
  </w:style>
  <w:style w:styleId="Style_38" w:type="paragraph">
    <w:name w:val="13908"/>
    <w:basedOn w:val="Style_9"/>
    <w:link w:val="Style_3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8_ch" w:type="character">
    <w:name w:val="13908"/>
    <w:basedOn w:val="Style_9_ch"/>
    <w:link w:val="Style_38"/>
    <w:rPr>
      <w:rFonts w:ascii="Times New Roman" w:hAnsi="Times New Roman"/>
      <w:color w:val="000000"/>
      <w:sz w:val="24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9_ch"/>
    <w:link w:val="Style_2"/>
    <w:rPr>
      <w:rFonts w:ascii="Times New Roman" w:hAnsi="Times New Roman"/>
      <w:sz w:val="28"/>
    </w:rPr>
  </w:style>
  <w:style w:styleId="Style_7" w:type="paragraph">
    <w:name w:val="1142"/>
    <w:basedOn w:val="Style_17"/>
    <w:link w:val="Style_7_ch"/>
  </w:style>
  <w:style w:styleId="Style_7_ch" w:type="character">
    <w:name w:val="1142"/>
    <w:basedOn w:val="Style_17_ch"/>
    <w:link w:val="Style_7"/>
  </w:style>
  <w:style w:styleId="Style_39" w:type="paragraph">
    <w:name w:val="2926"/>
    <w:basedOn w:val="Style_9"/>
    <w:link w:val="Style_39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9_ch" w:type="character">
    <w:name w:val="2926"/>
    <w:basedOn w:val="Style_9_ch"/>
    <w:link w:val="Style_39"/>
    <w:rPr>
      <w:rFonts w:ascii="Times New Roman" w:hAnsi="Times New Roman"/>
      <w:color w:val="000000"/>
      <w:sz w:val="24"/>
    </w:rPr>
  </w:style>
  <w:style w:styleId="Style_40" w:type="paragraph">
    <w:name w:val="annotation text"/>
    <w:basedOn w:val="Style_9"/>
    <w:link w:val="Style_40_ch"/>
    <w:pPr>
      <w:spacing w:line="240" w:lineRule="auto"/>
      <w:ind/>
    </w:pPr>
    <w:rPr>
      <w:sz w:val="20"/>
    </w:rPr>
  </w:style>
  <w:style w:styleId="Style_40_ch" w:type="character">
    <w:name w:val="annotation text"/>
    <w:basedOn w:val="Style_9_ch"/>
    <w:link w:val="Style_40"/>
    <w:rPr>
      <w:sz w:val="20"/>
    </w:rPr>
  </w:style>
  <w:style w:styleId="Style_41" w:type="paragraph">
    <w:name w:val="Subtitle"/>
    <w:next w:val="Style_9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next w:val="Style_9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9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ConsPlusNonformat"/>
    <w:link w:val="Style_44_ch"/>
    <w:pPr>
      <w:widowControl w:val="0"/>
      <w:spacing w:after="0" w:line="240" w:lineRule="auto"/>
      <w:ind/>
    </w:pPr>
    <w:rPr>
      <w:rFonts w:ascii="Courier New" w:hAnsi="Courier New"/>
      <w:color w:val="000000"/>
      <w:sz w:val="20"/>
    </w:rPr>
  </w:style>
  <w:style w:styleId="Style_44_ch" w:type="character">
    <w:name w:val="ConsPlusNonformat"/>
    <w:link w:val="Style_44"/>
    <w:rPr>
      <w:rFonts w:ascii="Courier New" w:hAnsi="Courier New"/>
      <w:color w:val="000000"/>
      <w:sz w:val="20"/>
    </w:rPr>
  </w:style>
  <w:style w:styleId="Style_45" w:type="paragraph">
    <w:name w:val="heading 2"/>
    <w:next w:val="Style_9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annotation subject"/>
    <w:basedOn w:val="Style_40"/>
    <w:next w:val="Style_40"/>
    <w:link w:val="Style_46_ch"/>
    <w:rPr>
      <w:b w:val="1"/>
    </w:rPr>
  </w:style>
  <w:style w:styleId="Style_46_ch" w:type="character">
    <w:name w:val="annotation subject"/>
    <w:basedOn w:val="Style_40_ch"/>
    <w:link w:val="Style_46"/>
    <w:rPr>
      <w:b w:val="1"/>
    </w:rPr>
  </w:style>
  <w:style w:styleId="Style_4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jpeg" Type="http://schemas.openxmlformats.org/officeDocument/2006/relationships/imag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2024-08-14T03:32:15Z</dcterms:modified>
</cp:coreProperties>
</file>