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МИНИСТЕРСТВО РЫБНОГО ХОЗЯЙСТВА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ПРИКАЗ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 w:firstLine="709" w:left="0"/>
        <w:jc w:val="center"/>
        <w:rPr>
          <w:rFonts w:ascii="Times New Roman" w:hAnsi="Times New Roman"/>
          <w:sz w:val="20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427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1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9639"/>
      </w:tblGrid>
      <w:tr>
        <w:tc>
          <w:tcPr>
            <w:tcW w:type="dxa" w:w="963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00000">
            <w:pPr>
              <w:ind w:firstLine="0" w:left="30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О внесении изменений</w:t>
            </w:r>
            <w:r>
              <w:rPr>
                <w:rFonts w:ascii="Times New Roman" w:hAnsi="Times New Roman"/>
                <w:b w:val="1"/>
                <w:sz w:val="28"/>
              </w:rPr>
              <w:t xml:space="preserve"> в приложение к приказу Министерства рыбного хозяйства Камчатского края от 30.05.2016 </w:t>
            </w:r>
            <w:r>
              <w:rPr>
                <w:rFonts w:ascii="Times New Roman" w:hAnsi="Times New Roman"/>
                <w:b w:val="1"/>
                <w:sz w:val="28"/>
              </w:rPr>
              <w:t>№ 37-м «Об утверждении нормативных затрат на обеспечение функций Министерства рыбного хозяйства Камчатского края»</w:t>
            </w:r>
          </w:p>
        </w:tc>
      </w:tr>
    </w:tbl>
    <w:p w14:paraId="1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14:paraId="1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ascii="Times New Roman" w:hAnsi="Times New Roman"/>
          <w:sz w:val="28"/>
        </w:rPr>
        <w:t xml:space="preserve"> приложение к приказу Министерства рыбного хозяйства Камчатского края от 30.05.2016 № 37-м «Об утверждении нормативных затрат на </w:t>
      </w:r>
      <w:r>
        <w:rPr>
          <w:rFonts w:ascii="Times New Roman" w:hAnsi="Times New Roman"/>
          <w:sz w:val="28"/>
        </w:rPr>
        <w:t>обеспечение функций Министерства рыбного хозяйства Камчатского края» следующие изменения:</w:t>
      </w:r>
    </w:p>
    <w:p w14:paraId="18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1) пункт 7</w:t>
      </w:r>
      <w:r>
        <w:rPr>
          <w:rFonts w:ascii="Times New Roman" w:hAnsi="Times New Roman"/>
          <w:color w:val="000000"/>
          <w:sz w:val="28"/>
        </w:rPr>
        <w:t xml:space="preserve"> части 16 изложить в следующей редакции:</w:t>
      </w:r>
    </w:p>
    <w:p w14:paraId="19000000">
      <w:pPr>
        <w:spacing w:after="0" w:line="240" w:lineRule="auto"/>
        <w:ind w:firstLine="0" w:left="0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i w:val="0"/>
          <w:sz w:val="28"/>
        </w:rPr>
        <w:t xml:space="preserve">7) Затраты на приобретение товаров, необходимых </w:t>
      </w:r>
      <w:r>
        <w:rPr>
          <w:rFonts w:ascii="Times New Roman" w:hAnsi="Times New Roman"/>
          <w:i w:val="0"/>
          <w:sz w:val="28"/>
        </w:rPr>
        <w:t>в рамках реализации эксперимента по внедрению дополнительных механизмов регулирования внутренних воздушных перевозок икры лососевых видов рыб (красной икры) непромышленного изготовления на территории Камчатского края</w:t>
      </w:r>
      <w:r>
        <w:rPr>
          <w:rFonts w:ascii="Times New Roman" w:hAnsi="Times New Roman"/>
          <w:i w:val="0"/>
          <w:sz w:val="28"/>
        </w:rPr>
        <w:t xml:space="preserve"> </w:t>
      </w:r>
      <w:r>
        <w:rPr>
          <w:rFonts w:ascii="Times New Roman" w:hAnsi="Times New Roman"/>
          <w:i w:val="0"/>
          <w:sz w:val="28"/>
        </w:rPr>
        <w:t xml:space="preserve">(далее – эксперимента) </w:t>
      </w:r>
      <w:r>
        <w:rPr>
          <w:rFonts w:ascii="Times New Roman" w:hAnsi="Times New Roman"/>
          <w:i w:val="0"/>
          <w:sz w:val="28"/>
        </w:rPr>
        <w:t>(З</w:t>
      </w:r>
      <w:r>
        <w:rPr>
          <w:rFonts w:ascii="Times New Roman" w:hAnsi="Times New Roman"/>
          <w:i w:val="0"/>
          <w:sz w:val="28"/>
          <w:vertAlign w:val="subscript"/>
        </w:rPr>
        <w:t>экс</w:t>
      </w:r>
      <w:r>
        <w:rPr>
          <w:rFonts w:ascii="Times New Roman" w:hAnsi="Times New Roman"/>
          <w:i w:val="0"/>
          <w:sz w:val="28"/>
        </w:rPr>
        <w:t>) определяются по формуле:</w:t>
      </w:r>
    </w:p>
    <w:p w14:paraId="1A000000">
      <w:pPr>
        <w:spacing w:after="0" w:before="0" w:line="240" w:lineRule="auto"/>
        <w:ind w:firstLine="0" w:left="0" w:right="0"/>
        <w:jc w:val="both"/>
        <w:rPr>
          <w:rFonts w:ascii="Times New Roman" w:hAnsi="Times New Roman"/>
        </w:rPr>
      </w:pPr>
    </w:p>
    <w:p w14:paraId="1B000000">
      <w:pPr>
        <w:spacing w:after="0" w:before="0" w:line="240" w:lineRule="auto"/>
        <w:ind w:firstLine="0" w:left="0" w:right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З</w:t>
      </w:r>
      <w:r>
        <w:rPr>
          <w:rFonts w:ascii="Times New Roman" w:hAnsi="Times New Roman"/>
          <w:sz w:val="36"/>
          <w:vertAlign w:val="subscript"/>
        </w:rPr>
        <w:t>экс</w:t>
      </w:r>
      <w:r>
        <w:rPr>
          <w:rFonts w:ascii="Times New Roman" w:hAnsi="Times New Roman"/>
          <w:sz w:val="36"/>
        </w:rPr>
        <w:t xml:space="preserve"> = N</w:t>
      </w:r>
      <w:r>
        <w:rPr>
          <w:rFonts w:ascii="Times New Roman" w:hAnsi="Times New Roman"/>
          <w:sz w:val="36"/>
          <w:vertAlign w:val="subscript"/>
        </w:rPr>
        <w:t>экс</w:t>
      </w:r>
      <w:r>
        <w:rPr>
          <w:rFonts w:ascii="Times New Roman" w:hAnsi="Times New Roman"/>
          <w:sz w:val="36"/>
        </w:rPr>
        <w:t>× Р</w:t>
      </w:r>
      <w:r>
        <w:rPr>
          <w:rFonts w:ascii="Times New Roman" w:hAnsi="Times New Roman"/>
          <w:sz w:val="36"/>
          <w:vertAlign w:val="subscript"/>
        </w:rPr>
        <w:t>экс</w:t>
      </w:r>
      <w:r>
        <w:rPr>
          <w:rFonts w:ascii="Times New Roman" w:hAnsi="Times New Roman"/>
          <w:sz w:val="36"/>
        </w:rPr>
        <w:t>,</w:t>
      </w:r>
    </w:p>
    <w:p w14:paraId="1C000000">
      <w:pPr>
        <w:spacing w:after="0" w:before="0" w:line="240" w:lineRule="auto"/>
        <w:ind w:firstLine="0" w:left="0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где:</w:t>
      </w:r>
    </w:p>
    <w:p w14:paraId="1D000000">
      <w:pPr>
        <w:spacing w:after="0" w:before="0" w:line="240" w:lineRule="auto"/>
        <w:ind w:firstLine="709" w:left="0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N</w:t>
      </w:r>
      <w:r>
        <w:rPr>
          <w:rFonts w:ascii="Times New Roman" w:hAnsi="Times New Roman"/>
          <w:sz w:val="32"/>
          <w:vertAlign w:val="subscript"/>
        </w:rPr>
        <w:t>эск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sz w:val="28"/>
        </w:rPr>
        <w:t>количество i-го товаров;</w:t>
      </w:r>
    </w:p>
    <w:p w14:paraId="1E000000">
      <w:pPr>
        <w:spacing w:after="0" w:before="0" w:line="240" w:lineRule="auto"/>
        <w:ind w:firstLine="709" w:left="0" w:right="0"/>
        <w:jc w:val="left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P</w:t>
      </w:r>
      <w:r>
        <w:rPr>
          <w:rFonts w:ascii="Times New Roman" w:hAnsi="Times New Roman"/>
          <w:sz w:val="32"/>
          <w:vertAlign w:val="subscript"/>
        </w:rPr>
        <w:t>экс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цена i-го предмета товаров.</w:t>
      </w:r>
    </w:p>
    <w:p w14:paraId="1F000000">
      <w:pPr>
        <w:keepNext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0000000">
      <w:pPr>
        <w:keepNext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Нормативы количества и цены товаров</w:t>
      </w:r>
      <w:r>
        <w:rPr>
          <w:rFonts w:ascii="Times New Roman" w:hAnsi="Times New Roman"/>
          <w:sz w:val="28"/>
        </w:rPr>
        <w:t xml:space="preserve"> в рамках эксперимента</w:t>
      </w:r>
    </w:p>
    <w:p w14:paraId="21000000">
      <w:pPr>
        <w:keepNext w:val="1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42</w:t>
      </w: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884"/>
        <w:gridCol w:w="1325"/>
        <w:gridCol w:w="3727"/>
        <w:gridCol w:w="1053"/>
        <w:gridCol w:w="1647"/>
      </w:tblGrid>
      <w:tr>
        <w:trPr>
          <w:trHeight w:hRule="atLeast" w:val="465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оборудования*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Технические характеристики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Кол-во, шт.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Цена за единицу, не более (руб.)</w:t>
            </w:r>
          </w:p>
        </w:tc>
      </w:tr>
      <w:tr>
        <w:trPr>
          <w:trHeight w:hRule="atLeast" w:val="2466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spacing w:after="0" w:line="240" w:lineRule="auto"/>
              <w:ind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Персональный компьютер (рабочая станция)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Процессор</w:t>
            </w:r>
            <w:r>
              <w:rPr>
                <w:rFonts w:ascii="Times New Roman" w:hAnsi="Times New Roman"/>
                <w:sz w:val="24"/>
              </w:rPr>
              <w:t xml:space="preserve">: не более 6 ядер, тактовой частотой не более 4 Ггц, оперативная память не более 16 Gb, HDD не более 500 Gb, интегрированный видеоадаптер, радиомодули Wi-Fi, Bluetooth, дисковод с возможностью чтения, записи и перезаписи CD и (или) DVD дисков любых типов, </w:t>
            </w:r>
            <w:r>
              <w:rPr>
                <w:rFonts w:ascii="Times New Roman" w:hAnsi="Times New Roman"/>
                <w:sz w:val="24"/>
              </w:rPr>
              <w:t>монитор жидкокристалли</w:t>
            </w:r>
            <w:r>
              <w:rPr>
                <w:rFonts w:ascii="Times New Roman" w:hAnsi="Times New Roman"/>
                <w:sz w:val="24"/>
              </w:rPr>
              <w:t>ческий не более 17 дюймов, мышь оптическая (USB), клавиатура (USB), предустановленные программы: операционная система, текстовый редактор, программа для работы с электронными таблицами, интернет-браузер, почтовый клиент, приложение для просмотра pdf-файлов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rPr>
          <w:trHeight w:hRule="atLeast" w:val="1131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Персональный компьютер (рабочая станция)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Процессор: </w:t>
            </w:r>
            <w:r>
              <w:rPr>
                <w:rFonts w:ascii="Times New Roman" w:hAnsi="Times New Roman"/>
                <w:sz w:val="24"/>
              </w:rPr>
              <w:t>не более 6 ядер, тактовой частотой не более 4 Ггц, оперативная память не более 16 Gb, HDD не более 500 Gb, интегрированный видеоадаптер, радиомодули Wi-Fi, Bluetooth, дисковод с возможностью чтения, записи и перезаписи CD и (или) DVD дисков любых типов, мо</w:t>
            </w:r>
            <w:r>
              <w:rPr>
                <w:rFonts w:ascii="Times New Roman" w:hAnsi="Times New Roman"/>
                <w:sz w:val="24"/>
              </w:rPr>
              <w:t xml:space="preserve">нитор жидкокристаллический не более 17 дюймов, мышь оптическая (USB), клавиатура (USB), предустановленные программы: операционная система, текстовый редактор, программа для работы с электронными таблицами, интернет-браузер, почтовый клиент, приложение для </w:t>
            </w:r>
            <w:r>
              <w:rPr>
                <w:rFonts w:ascii="Times New Roman" w:hAnsi="Times New Roman"/>
                <w:sz w:val="24"/>
              </w:rPr>
              <w:t>просмотра pdf-файлов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50 000,00</w:t>
            </w:r>
          </w:p>
        </w:tc>
      </w:tr>
      <w:tr>
        <w:trPr>
          <w:trHeight w:hRule="atLeast" w:val="1272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МФУ (принтер, сканер, копир)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Характеристики принтера: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Технология печати: лазерная, цветность печати: черно-белая, м</w:t>
            </w:r>
            <w:r>
              <w:rPr>
                <w:rFonts w:ascii="Times New Roman" w:hAnsi="Times New Roman"/>
                <w:sz w:val="24"/>
              </w:rPr>
              <w:t>аксимальный формат: A4, функция автоматической двусторонней печати, максимальное разрешение черно-белой печати 1200x1200 dpi, скорость печати (стр./мин) 38 стр./мин (А4).Характеристики сканера: Оптическое разрешение сканера: 1200x1200 dpi, скорость сканиро</w:t>
            </w:r>
            <w:r>
              <w:rPr>
                <w:rFonts w:ascii="Times New Roman" w:hAnsi="Times New Roman"/>
                <w:sz w:val="24"/>
              </w:rPr>
              <w:t xml:space="preserve">вания 29 стр./мин., максимальный формат бумаги (сканер) A4 (216x356), наличие устройства автоподачи. Характеристики копира: Максимальное разрешение копира: 600x600 dpi, скорость копирования 38 стр./мин. Интерфейсы : Wi-Fi, Ethernet (RJ-45), USB, мобильные </w:t>
            </w:r>
            <w:r>
              <w:rPr>
                <w:rFonts w:ascii="Times New Roman" w:hAnsi="Times New Roman"/>
                <w:sz w:val="24"/>
              </w:rPr>
              <w:t>технологии печати: HP ePrint, AirPrint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25 000,00</w:t>
            </w:r>
          </w:p>
        </w:tc>
      </w:tr>
      <w:tr>
        <w:trPr>
          <w:trHeight w:hRule="atLeast" w:val="1530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Фото/видео камера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Максимальное ра</w:t>
            </w:r>
            <w:r>
              <w:rPr>
                <w:rFonts w:ascii="Times New Roman" w:hAnsi="Times New Roman"/>
                <w:sz w:val="24"/>
              </w:rPr>
              <w:t>зрешение фото: 5152x3864 пикселей, разрешение видео: HD (1280x720 пикселей), формат сжатия: H.264, JPEG, MPEG4, оптический зум: до 8Х,  диагональ дисплея до 2.7 ",  используемые карты памяти: MS Pro DUO, MS Pro-HG DUO, SDHC, SDXC, интерфейс связи с ПК: USB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7 000,00</w:t>
            </w:r>
          </w:p>
        </w:tc>
      </w:tr>
      <w:tr>
        <w:trPr>
          <w:trHeight w:hRule="atLeast" w:val="989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Фото/видео камера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Максимальное </w:t>
            </w:r>
            <w:r>
              <w:rPr>
                <w:rFonts w:ascii="Times New Roman" w:hAnsi="Times New Roman"/>
                <w:sz w:val="24"/>
              </w:rPr>
              <w:t>разрешение фото: 5152x3864 пикселей, разрешение видео: HD (1280x720 пикселей), формат сжатия: H.264, JPEG, MPEG4, оптический зум: до 8Х, диагональ дисплея до 2.7 ", используемые карты памяти: MS Pro DUO, MS Pro-HG DUO, SDHC, SDXC, интерфейс связи с ПК: USB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7 000,00</w:t>
            </w:r>
          </w:p>
        </w:tc>
      </w:tr>
      <w:tr>
        <w:trPr>
          <w:trHeight w:hRule="atLeast" w:val="902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Карта памяти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SDXC, минимальная скорость записи 120 Мбит/с, UHS-I Class 1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1 000,00</w:t>
            </w:r>
          </w:p>
        </w:tc>
      </w:tr>
      <w:tr>
        <w:trPr>
          <w:trHeight w:hRule="atLeast" w:val="611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Письменный стол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1200х600х750 мм, ЛДСП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10 000,00</w:t>
            </w:r>
          </w:p>
        </w:tc>
      </w:tr>
      <w:tr>
        <w:trPr>
          <w:trHeight w:hRule="atLeast" w:val="840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Стол для досмотра ручной клади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1200х600х600 мм, с металлической  столешницей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25 000,00</w:t>
            </w:r>
          </w:p>
        </w:tc>
      </w:tr>
      <w:tr>
        <w:trPr>
          <w:trHeight w:hRule="atLeast" w:val="1020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Весы электронные товарные платформенные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Максимальная нагрузка 50 кг, материал платформы: нержавеющая сталь, свидетельство о проверке с актуальным сроком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40 000,00</w:t>
            </w:r>
          </w:p>
        </w:tc>
      </w:tr>
      <w:tr>
        <w:trPr>
          <w:trHeight w:hRule="atLeast" w:val="333"/>
        </w:trPr>
        <w:tc>
          <w:tcPr>
            <w:tcW w:type="dxa" w:w="18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Офисный стул</w:t>
            </w:r>
          </w:p>
        </w:tc>
        <w:tc>
          <w:tcPr>
            <w:tcW w:type="dxa" w:w="13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spacing w:after="0" w:line="240" w:lineRule="auto"/>
              <w:ind w:firstLine="460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7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Черный цвет</w:t>
            </w:r>
          </w:p>
        </w:tc>
        <w:tc>
          <w:tcPr>
            <w:tcW w:type="dxa" w:w="10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1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5 000,00</w:t>
            </w:r>
          </w:p>
        </w:tc>
      </w:tr>
    </w:tbl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Данное имущество предназначено в </w:t>
      </w:r>
      <w:r>
        <w:rPr>
          <w:rFonts w:ascii="Times New Roman" w:hAnsi="Times New Roman"/>
          <w:sz w:val="24"/>
        </w:rPr>
        <w:t>целях реализации эксперимента по внедрению дополнительных механизмов регулирования внутренних воздушных перевозок икры лососевых видов рыб (красной икры) непромышленного изготовления на территории Камчатского края</w:t>
      </w:r>
      <w:r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 xml:space="preserve">распоряжения Правительства Камчатского края от 17.10.2022 № 612-РП, от 09.09.2024 № 325-РП) </w:t>
      </w:r>
      <w:r>
        <w:rPr>
          <w:rFonts w:ascii="Times New Roman" w:hAnsi="Times New Roman"/>
          <w:sz w:val="24"/>
        </w:rPr>
        <w:t xml:space="preserve">для проведения контрольных мероприятий </w:t>
      </w:r>
      <w:r>
        <w:rPr>
          <w:rFonts w:ascii="Times New Roman" w:hAnsi="Times New Roman"/>
          <w:sz w:val="24"/>
        </w:rPr>
        <w:t xml:space="preserve">в международном аэропорту Петропавловск-Камчатский (Елизово) </w:t>
      </w:r>
      <w:r>
        <w:rPr>
          <w:rFonts w:ascii="Times New Roman" w:hAnsi="Times New Roman"/>
          <w:sz w:val="24"/>
        </w:rPr>
        <w:t>в здании АО «Международный аэропорт Петропавловск-Камчатский (Елизово)»</w:t>
      </w:r>
    </w:p>
    <w:p w14:paraId="5B000000">
      <w:pPr>
        <w:pStyle w:val="Style_4"/>
        <w:tabs>
          <w:tab w:leader="none" w:pos="360" w:val="left"/>
          <w:tab w:leader="none" w:pos="993" w:val="left"/>
        </w:tabs>
        <w:spacing w:after="0" w:line="240" w:lineRule="auto"/>
        <w:ind w:firstLine="70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             ».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background1" w:val="FFFFFF"/>
          <w:sz w:val="28"/>
        </w:rPr>
      </w:pPr>
    </w:p>
    <w:tbl>
      <w:tblPr>
        <w:tblStyle w:val="Style_2"/>
        <w:tblW w:type="auto" w:w="0"/>
        <w:tblLayout w:type="fixed"/>
        <w:tblCellMar>
          <w:left w:type="dxa" w:w="0"/>
          <w:right w:type="dxa" w:w="0"/>
        </w:tblCellMar>
      </w:tblPr>
      <w:tblGrid>
        <w:gridCol w:w="2405"/>
        <w:gridCol w:w="4966"/>
        <w:gridCol w:w="2268"/>
      </w:tblGrid>
      <w:tr>
        <w:trPr>
          <w:trHeight w:hRule="atLeast" w:val="1707"/>
        </w:trPr>
        <w:tc>
          <w:tcPr>
            <w:tcW w:type="dxa" w:w="2405"/>
            <w:shd w:fill="auto" w:val="clear"/>
            <w:tcMar>
              <w:left w:type="dxa" w:w="0"/>
              <w:right w:type="dxa" w:w="0"/>
            </w:tcMar>
          </w:tcPr>
          <w:p w14:paraId="5F000000">
            <w:pPr>
              <w:spacing w:after="0" w:line="240" w:lineRule="auto"/>
              <w:ind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И.о. Министра</w:t>
            </w:r>
          </w:p>
          <w:p w14:paraId="60000000">
            <w:pPr>
              <w:spacing w:after="0" w:line="240" w:lineRule="auto"/>
              <w:ind w:firstLine="0" w:left="30" w:right="27"/>
              <w:rPr>
                <w:rFonts w:ascii="Times New Roman" w:hAnsi="Times New Roman"/>
                <w:color w:themeColor="background1" w:val="FFFFFF"/>
                <w:sz w:val="24"/>
              </w:rPr>
            </w:pPr>
          </w:p>
        </w:tc>
        <w:tc>
          <w:tcPr>
            <w:tcW w:type="dxa" w:w="4966"/>
            <w:shd w:fill="auto" w:val="clear"/>
            <w:tcMar>
              <w:left w:type="dxa" w:w="0"/>
              <w:right w:type="dxa" w:w="0"/>
            </w:tcMar>
          </w:tcPr>
          <w:p w14:paraId="61000000">
            <w:pPr>
              <w:spacing w:after="0" w:line="240" w:lineRule="auto"/>
              <w:ind/>
              <w:rPr>
                <w:rFonts w:ascii="Times New Roman" w:hAnsi="Times New Roman"/>
                <w:color w:themeColor="background1"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</w:t>
            </w:r>
            <w:bookmarkStart w:id="3" w:name="_GoBack"/>
            <w:bookmarkEnd w:id="3"/>
            <w:r>
              <w:rPr>
                <w:rFonts w:ascii="Times New Roman" w:hAnsi="Times New Roman"/>
                <w:color w:themeColor="background1" w:val="FFFFFF"/>
                <w:sz w:val="24"/>
              </w:rPr>
              <w:t>си 1]</w:t>
            </w:r>
            <w:bookmarkEnd w:id="2"/>
          </w:p>
        </w:tc>
        <w:tc>
          <w:tcPr>
            <w:tcW w:type="dxa" w:w="2268"/>
            <w:shd w:fill="auto" w:val="clear"/>
            <w:tcMar>
              <w:left w:type="dxa" w:w="0"/>
              <w:right w:type="dxa" w:w="0"/>
            </w:tcMar>
          </w:tcPr>
          <w:p w14:paraId="6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С.В. 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званов</w:t>
            </w:r>
          </w:p>
        </w:tc>
      </w:tr>
    </w:tbl>
    <w:p w14:paraId="63000000">
      <w:pPr>
        <w:spacing w:line="240" w:lineRule="auto"/>
        <w:ind/>
        <w:jc w:val="both"/>
      </w:pPr>
    </w:p>
    <w:sectPr>
      <w:headerReference r:id="rId1" w:type="default"/>
      <w:pgSz w:h="16848" w:orient="portrait" w:w="11908"/>
      <w:pgMar w:bottom="1134" w:footer="709" w:gutter="0" w:header="709" w:left="1417" w:right="850" w:top="141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5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5_ch"/>
    <w:link w:val="Style_10"/>
    <w:rPr>
      <w:rFonts w:ascii="Segoe UI" w:hAnsi="Segoe UI"/>
      <w:sz w:val="18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4" w:type="paragraph">
    <w:name w:val="footer"/>
    <w:basedOn w:val="Style_5"/>
    <w:link w:val="Style_1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4_ch" w:type="character">
    <w:name w:val="footer"/>
    <w:basedOn w:val="Style_5_ch"/>
    <w:link w:val="Style_14"/>
    <w:rPr>
      <w:rFonts w:ascii="Times New Roman" w:hAnsi="Times New Roman"/>
      <w:sz w:val="28"/>
    </w:rPr>
  </w:style>
  <w:style w:styleId="Style_15" w:type="paragraph">
    <w:name w:val="toc 3"/>
    <w:next w:val="Style_5"/>
    <w:link w:val="Style_15_ch"/>
    <w:uiPriority w:val="39"/>
    <w:pPr>
      <w:ind w:firstLine="0"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Обычный1"/>
    <w:link w:val="Style_16_ch"/>
  </w:style>
  <w:style w:styleId="Style_16_ch" w:type="character">
    <w:name w:val="Обычный1"/>
    <w:link w:val="Style_16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heading 1"/>
    <w:next w:val="Style_5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5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5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toc 5"/>
    <w:next w:val="Style_5"/>
    <w:link w:val="Style_26_ch"/>
    <w:uiPriority w:val="39"/>
    <w:pPr>
      <w:ind w:firstLine="0"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Plain Text"/>
    <w:basedOn w:val="Style_5"/>
    <w:link w:val="Style_27_ch"/>
    <w:pPr>
      <w:spacing w:after="0" w:line="240" w:lineRule="auto"/>
      <w:ind/>
    </w:pPr>
    <w:rPr>
      <w:rFonts w:ascii="Calibri" w:hAnsi="Calibri"/>
    </w:rPr>
  </w:style>
  <w:style w:styleId="Style_27_ch" w:type="character">
    <w:name w:val="Plain Text"/>
    <w:basedOn w:val="Style_5_ch"/>
    <w:link w:val="Style_27"/>
    <w:rPr>
      <w:rFonts w:ascii="Calibri" w:hAnsi="Calibri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Гиперссылка1"/>
    <w:basedOn w:val="Style_13"/>
    <w:link w:val="Style_31_ch"/>
    <w:rPr>
      <w:color w:themeColor="hyperlink" w:val="0563C1"/>
      <w:u w:val="single"/>
    </w:rPr>
  </w:style>
  <w:style w:styleId="Style_31_ch" w:type="character">
    <w:name w:val="Гиперссылка1"/>
    <w:basedOn w:val="Style_13_ch"/>
    <w:link w:val="Style_31"/>
    <w:rPr>
      <w:color w:themeColor="hyperlink" w:val="0563C1"/>
      <w:u w:val="single"/>
    </w:rPr>
  </w:style>
  <w:style w:styleId="Style_32" w:type="paragraph">
    <w:name w:val="heading 2"/>
    <w:next w:val="Style_5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paragraph">
    <w:name w:val="ConsPlusNormal"/>
    <w:link w:val="Style_33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33_ch" w:type="character">
    <w:name w:val="ConsPlusNormal"/>
    <w:link w:val="Style_33"/>
    <w:rPr>
      <w:rFonts w:ascii="Arial" w:hAnsi="Arial"/>
      <w:sz w:val="20"/>
    </w:rPr>
  </w:style>
  <w:style w:styleId="Style_34" w:type="table">
    <w:name w:val="Сетка таблицы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35" w:type="table">
    <w:name w:val="Сетка таблицы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2024-10-15T04:34:51Z</dcterms:modified>
</cp:coreProperties>
</file>