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4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6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МИНИСТЕРСТВО РЫБНОГО ХОЗЯЙСТВА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ПРИКАЗ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 w:firstLine="709" w:left="0"/>
        <w:jc w:val="center"/>
        <w:rPr>
          <w:rFonts w:ascii="Times New Roman" w:hAnsi="Times New Roman"/>
          <w:sz w:val="20"/>
        </w:rPr>
      </w:pPr>
    </w:p>
    <w:tbl>
      <w:tblPr>
        <w:tblStyle w:val="Style_2"/>
        <w:tblW w:type="auto" w:w="0"/>
        <w:tblLayout w:type="fixed"/>
        <w:tblCellMar>
          <w:left w:type="dxa" w:w="0"/>
          <w:right w:type="dxa" w:w="0"/>
        </w:tblCellMar>
      </w:tblPr>
      <w:tblGrid>
        <w:gridCol w:w="4253"/>
      </w:tblGrid>
      <w:tr>
        <w:trPr>
          <w:trHeight w:hRule="atLeast" w:val="427"/>
        </w:trPr>
        <w:tc>
          <w:tcPr>
            <w:tcW w:type="dxa" w:w="4253"/>
            <w:tcBorders>
              <w:top w:sz="4" w:val="nil"/>
              <w:left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D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  <w:bookmarkStart w:id="1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1"/>
          </w:p>
        </w:tc>
      </w:tr>
      <w:tr>
        <w:trPr>
          <w:trHeight w:hRule="atLeast" w:val="247"/>
        </w:trPr>
        <w:tc>
          <w:tcPr>
            <w:tcW w:type="dxa" w:w="4253"/>
            <w:tcBorders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hRule="atLeast" w:val="80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0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Borders>
          <w:top w:sz="4" w:val="nil"/>
          <w:left w:sz="4" w:val="nil"/>
          <w:bottom w:sz="4" w:val="nil"/>
          <w:right w:sz="4" w:val="nil"/>
          <w:insideH w:sz="4" w:val="nil"/>
          <w:insideV w:sz="4" w:val="nil"/>
        </w:tblBorders>
        <w:tblLayout w:type="fixed"/>
      </w:tblPr>
      <w:tblGrid>
        <w:gridCol w:w="9639"/>
      </w:tblGrid>
      <w:tr>
        <w:tc>
          <w:tcPr>
            <w:tcW w:type="dxa" w:w="963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2000000">
            <w:pPr>
              <w:ind w:firstLine="0" w:left="30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 внесении изменений</w:t>
            </w:r>
            <w:r>
              <w:rPr>
                <w:rFonts w:ascii="Times New Roman" w:hAnsi="Times New Roman"/>
                <w:b w:val="1"/>
                <w:sz w:val="28"/>
              </w:rPr>
              <w:t xml:space="preserve"> в приложение к приказу Министерства рыбного хозяйства Камчатского края от 30.05.2016 </w:t>
            </w:r>
            <w:r>
              <w:rPr>
                <w:rFonts w:ascii="Times New Roman" w:hAnsi="Times New Roman"/>
                <w:b w:val="1"/>
                <w:sz w:val="28"/>
              </w:rPr>
              <w:t>№ 37-м «Об утверждении нормативных затрат на обеспечение функций Министерства рыбного хозяйства Камчатского края»</w:t>
            </w:r>
          </w:p>
        </w:tc>
      </w:tr>
    </w:tbl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в</w:t>
      </w:r>
      <w:r>
        <w:rPr>
          <w:rFonts w:ascii="Times New Roman" w:hAnsi="Times New Roman"/>
          <w:sz w:val="28"/>
        </w:rPr>
        <w:t xml:space="preserve"> приложение к приказу Министерства рыбного хозяйства Камчатского края от 30.05.2016 № 37-м «Об утверждении нормативных затрат на </w:t>
      </w:r>
      <w:r>
        <w:rPr>
          <w:rFonts w:ascii="Times New Roman" w:hAnsi="Times New Roman"/>
          <w:sz w:val="28"/>
        </w:rPr>
        <w:t>обеспечение функций Министерства рыбного хозяйства Камчатского края» следующие изменения:</w:t>
      </w:r>
    </w:p>
    <w:p w14:paraId="18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1) пункт 3</w:t>
      </w:r>
      <w:r>
        <w:rPr>
          <w:rFonts w:ascii="Times New Roman" w:hAnsi="Times New Roman"/>
          <w:color w:val="000000"/>
          <w:sz w:val="28"/>
        </w:rPr>
        <w:t xml:space="preserve"> части 14 изложить в следующей редакции:</w:t>
      </w:r>
    </w:p>
    <w:p w14:paraId="19000000">
      <w:pPr>
        <w:spacing w:after="0" w:line="240" w:lineRule="auto"/>
        <w:ind w:firstLine="0" w:left="0"/>
        <w:jc w:val="both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i w:val="0"/>
          <w:sz w:val="28"/>
        </w:rPr>
        <w:t>3) Затраты на приобретение информационных услуг, которые включают в себя затраты на приобретение периодических печатных изданий, справочной литературы, статистической информации, а также подачу объявлений в печатные издания (</w:t>
      </w:r>
      <w:r>
        <w:rPr>
          <w:rFonts w:ascii="Times New Roman" w:hAnsi="Times New Roman"/>
          <w:i w:val="0"/>
          <w:sz w:val="28"/>
        </w:rPr>
        <w:t>З</w:t>
      </w:r>
      <w:r>
        <w:rPr>
          <w:rFonts w:ascii="Times New Roman" w:hAnsi="Times New Roman"/>
          <w:i w:val="0"/>
          <w:sz w:val="28"/>
          <w:vertAlign w:val="subscript"/>
        </w:rPr>
        <w:t>иу</w:t>
      </w:r>
      <w:r>
        <w:rPr>
          <w:rFonts w:ascii="Times New Roman" w:hAnsi="Times New Roman"/>
          <w:i w:val="0"/>
          <w:sz w:val="28"/>
        </w:rPr>
        <w:t>), определяются по фактическим затратам в отчетном финансовом году.</w:t>
      </w:r>
    </w:p>
    <w:p w14:paraId="1A000000">
      <w:pPr>
        <w:widowControl w:val="0"/>
        <w:spacing w:after="0" w:before="0" w:line="240" w:lineRule="auto"/>
        <w:ind w:firstLine="540" w:left="0"/>
        <w:jc w:val="center"/>
        <w:rPr>
          <w:rFonts w:ascii="Times New Roman" w:hAnsi="Times New Roman"/>
          <w:i w:val="0"/>
        </w:rPr>
      </w:pPr>
    </w:p>
    <w:p w14:paraId="1B000000">
      <w:pPr>
        <w:widowControl w:val="0"/>
        <w:spacing w:after="0" w:before="0" w:line="240" w:lineRule="auto"/>
        <w:ind w:firstLine="54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Затраты на приобретение периодических печатных изданий, справочной литературы, статистической информации</w:t>
      </w:r>
    </w:p>
    <w:p w14:paraId="1C000000">
      <w:pPr>
        <w:spacing w:after="0" w:line="240" w:lineRule="auto"/>
        <w:ind w:firstLine="540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29</w:t>
      </w:r>
    </w:p>
    <w:tbl>
      <w:tblPr>
        <w:tblStyle w:val="Style_2"/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681"/>
        <w:gridCol w:w="3118"/>
        <w:gridCol w:w="2835"/>
      </w:tblGrid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spacing w:after="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издания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spacing w:after="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в год, </w:t>
            </w:r>
            <w:r>
              <w:rPr>
                <w:rFonts w:ascii="Times New Roman" w:hAnsi="Times New Roman"/>
                <w:sz w:val="24"/>
              </w:rPr>
              <w:t>не более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spacing w:after="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Цена за 1 информацию, руб., </w:t>
            </w:r>
            <w:r>
              <w:rPr>
                <w:rFonts w:ascii="Times New Roman" w:hAnsi="Times New Roman"/>
                <w:sz w:val="24"/>
              </w:rPr>
              <w:t>не более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0000000">
            <w:pPr>
              <w:spacing w:after="0" w:before="120" w:line="240" w:lineRule="auto"/>
              <w:ind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Периодические печатные издания, справочная литература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1000000">
            <w:pPr>
              <w:spacing w:after="0" w:before="1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2000000">
            <w:pPr>
              <w:spacing w:after="0" w:before="1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15 000,00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3000000">
            <w:pPr>
              <w:spacing w:after="0" w:before="120" w:line="240" w:lineRule="auto"/>
              <w:ind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Статистическая информация Территориального органа Федеральной службы государственной статистики по Камчатскому краю 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4000000">
            <w:pPr>
              <w:spacing w:after="0" w:before="1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5000000">
            <w:pPr>
              <w:spacing w:after="0" w:before="1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15 000,00</w:t>
            </w:r>
          </w:p>
        </w:tc>
      </w:tr>
    </w:tbl>
    <w:p w14:paraId="26000000">
      <w:pPr>
        <w:spacing w:after="0" w:line="240" w:lineRule="auto"/>
        <w:ind w:firstLine="0" w:left="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»;</w:t>
      </w:r>
    </w:p>
    <w:p w14:paraId="27000000">
      <w:pPr>
        <w:spacing w:after="0" w:line="240" w:lineRule="auto"/>
        <w:ind w:firstLine="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2)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таблицу 32 изложить в следующей редакции:</w:t>
      </w:r>
    </w:p>
    <w:p w14:paraId="28000000">
      <w:pPr>
        <w:spacing w:after="0" w:line="240" w:lineRule="auto"/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p w14:paraId="29000000">
      <w:pPr>
        <w:spacing w:after="0" w:line="240" w:lineRule="auto"/>
        <w:ind w:firstLine="540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32</w:t>
      </w:r>
    </w:p>
    <w:tbl>
      <w:tblPr>
        <w:tblStyle w:val="Style_2"/>
        <w:tblW w:type="auto" w:w="0"/>
        <w:tblInd w:type="dxa" w:w="-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865"/>
        <w:gridCol w:w="2271"/>
        <w:gridCol w:w="2509"/>
      </w:tblGrid>
      <w:tr>
        <w:trPr>
          <w:trHeight w:hRule="atLeast" w:val="883"/>
        </w:trPr>
        <w:tc>
          <w:tcPr>
            <w:tcW w:type="dxa" w:w="4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type="dxa" w:w="22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услуг в год, не более  </w:t>
            </w:r>
          </w:p>
        </w:tc>
        <w:tc>
          <w:tcPr>
            <w:tcW w:type="dxa" w:w="2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Цена 1 услуги, руб.,</w:t>
            </w:r>
          </w:p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 более </w:t>
            </w:r>
          </w:p>
        </w:tc>
      </w:tr>
      <w:tr>
        <w:tc>
          <w:tcPr>
            <w:tcW w:type="dxa" w:w="4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Услуги по утилизации списанного основного средства, в том числе:</w:t>
            </w:r>
          </w:p>
        </w:tc>
        <w:tc>
          <w:tcPr>
            <w:tcW w:type="dxa" w:w="22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spacing w:line="240" w:lineRule="auto"/>
              <w:ind/>
            </w:pPr>
          </w:p>
        </w:tc>
        <w:tc>
          <w:tcPr>
            <w:tcW w:type="dxa" w:w="2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spacing w:line="240" w:lineRule="auto"/>
              <w:ind/>
            </w:pPr>
          </w:p>
        </w:tc>
      </w:tr>
      <w:tr>
        <w:tc>
          <w:tcPr>
            <w:tcW w:type="dxa" w:w="4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вычислительная техник</w:t>
            </w:r>
            <w:r>
              <w:rPr>
                <w:rFonts w:ascii="Times New Roman" w:hAnsi="Times New Roman"/>
                <w:color w:val="000000"/>
                <w:sz w:val="24"/>
              </w:rPr>
              <w:t>а (</w:t>
            </w: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4"/>
              </w:rPr>
              <w:t>компьютеры, ноутбуки, планшеты, серверы, модемы, мониторы, электронные записные книжки и иные</w:t>
            </w: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4"/>
              </w:rPr>
              <w:t>)</w:t>
            </w:r>
          </w:p>
        </w:tc>
        <w:tc>
          <w:tcPr>
            <w:tcW w:type="dxa" w:w="22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4 000,00</w:t>
            </w:r>
          </w:p>
        </w:tc>
      </w:tr>
      <w:tr>
        <w:tc>
          <w:tcPr>
            <w:tcW w:type="dxa" w:w="4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оргтехника (</w:t>
            </w: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4"/>
                <w:highlight w:val="white"/>
              </w:rPr>
              <w:t xml:space="preserve">принтеры, </w:t>
            </w: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4"/>
                <w:highlight w:val="white"/>
              </w:rPr>
              <w:t>МФУ, факсы,  сканеры и иные)</w:t>
            </w:r>
          </w:p>
        </w:tc>
        <w:tc>
          <w:tcPr>
            <w:tcW w:type="dxa" w:w="22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4 000,00</w:t>
            </w:r>
          </w:p>
        </w:tc>
      </w:tr>
      <w:tr>
        <w:tc>
          <w:tcPr>
            <w:tcW w:type="dxa" w:w="4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детали к вычислительной технике (мониторы, ИБП, системные блоки, клавиатуры, мыши, колонки, акустика (наушники и микрофон), видеокамеры, процессоры, материнские платы, системы охлаждения, </w:t>
            </w:r>
            <w:r>
              <w:rPr>
                <w:rFonts w:ascii="Times New Roman" w:hAnsi="Times New Roman"/>
                <w:sz w:val="24"/>
              </w:rPr>
              <w:t>средства звуко и видео связи (проекторы, системы видеоконференцсвязи, камеры компактные, диктофоны, проекторы), гарнитуры, внешние жесткие диски,</w:t>
            </w:r>
            <w:r>
              <w:rPr>
                <w:rFonts w:ascii="Times New Roman" w:hAnsi="Times New Roman"/>
                <w:sz w:val="24"/>
              </w:rPr>
              <w:t xml:space="preserve"> и иные)</w:t>
            </w:r>
          </w:p>
        </w:tc>
        <w:tc>
          <w:tcPr>
            <w:tcW w:type="dxa" w:w="22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type="dxa" w:w="2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2 000,00</w:t>
            </w:r>
          </w:p>
        </w:tc>
      </w:tr>
      <w:tr>
        <w:tc>
          <w:tcPr>
            <w:tcW w:type="dxa" w:w="4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 (столы, кресла, стулья, шкафы, тумбы, пеналы, антресоли, стеллажи, горки, доборные элементы, полки, этажерки, пеналы, подставки и иные)</w:t>
            </w:r>
          </w:p>
        </w:tc>
        <w:tc>
          <w:tcPr>
            <w:tcW w:type="dxa" w:w="22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2 000,00</w:t>
            </w:r>
          </w:p>
        </w:tc>
      </w:tr>
      <w:tr>
        <w:tc>
          <w:tcPr>
            <w:tcW w:type="dxa" w:w="4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 телефонной связи (телефонные аппараты, средства сотовой связи (смартфоны), радиотелефон</w:t>
            </w:r>
            <w:r>
              <w:rPr>
                <w:rFonts w:ascii="Times New Roman" w:hAnsi="Times New Roman"/>
                <w:sz w:val="24"/>
              </w:rPr>
              <w:t xml:space="preserve">ы, </w:t>
            </w:r>
            <w:r>
              <w:rPr>
                <w:rFonts w:ascii="Times New Roman" w:hAnsi="Times New Roman"/>
                <w:sz w:val="24"/>
              </w:rPr>
              <w:t xml:space="preserve">телефоны </w:t>
            </w:r>
            <w:r>
              <w:rPr>
                <w:rFonts w:ascii="Times New Roman" w:hAnsi="Times New Roman"/>
                <w:sz w:val="24"/>
              </w:rPr>
              <w:t>IP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 комплекте </w:t>
            </w:r>
            <w:r>
              <w:rPr>
                <w:rFonts w:ascii="Times New Roman" w:hAnsi="Times New Roman"/>
                <w:sz w:val="24"/>
              </w:rPr>
              <w:t>c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блоком питания</w:t>
            </w:r>
            <w:r>
              <w:rPr>
                <w:rFonts w:ascii="Times New Roman" w:hAnsi="Times New Roman"/>
                <w:sz w:val="24"/>
              </w:rPr>
              <w:t xml:space="preserve"> и модулем расширения и иные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type="dxa" w:w="22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2 000,00</w:t>
            </w:r>
          </w:p>
        </w:tc>
      </w:tr>
      <w:tr>
        <w:tc>
          <w:tcPr>
            <w:tcW w:type="dxa" w:w="4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color w:val="040C28"/>
                <w:spacing w:val="0"/>
                <w:sz w:val="24"/>
              </w:rPr>
              <w:t>прочие электронные вычислительные устройства (калькуляторы и ины</w:t>
            </w:r>
            <w:r>
              <w:rPr>
                <w:rFonts w:ascii="Times New Roman" w:hAnsi="Times New Roman"/>
                <w:sz w:val="24"/>
              </w:rPr>
              <w:t>е)</w:t>
            </w:r>
          </w:p>
        </w:tc>
        <w:tc>
          <w:tcPr>
            <w:tcW w:type="dxa" w:w="22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2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2 000,00</w:t>
            </w:r>
          </w:p>
        </w:tc>
      </w:tr>
      <w:tr>
        <w:tc>
          <w:tcPr>
            <w:tcW w:type="dxa" w:w="4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основные средства (кондиционеры, ламинаторы, уничтожители бумаги, электрочайники, кофемашины, холодильники, сейфы, жалюзи, весы (в том числе напольные), станки для ниточного скрепления документации, фотокамеры и иные)</w:t>
            </w:r>
          </w:p>
        </w:tc>
        <w:tc>
          <w:tcPr>
            <w:tcW w:type="dxa" w:w="22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2 000,00</w:t>
            </w:r>
          </w:p>
        </w:tc>
      </w:tr>
      <w:tr>
        <w:tc>
          <w:tcPr>
            <w:tcW w:type="dxa" w:w="4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Диагностика неисправности оборудования (вычислительной и оргтехники) с выдачей акта дефектовки</w:t>
            </w:r>
          </w:p>
        </w:tc>
        <w:tc>
          <w:tcPr>
            <w:tcW w:type="dxa" w:w="22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type="dxa" w:w="2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4 000,00</w:t>
            </w:r>
          </w:p>
        </w:tc>
      </w:tr>
      <w:tr>
        <w:tc>
          <w:tcPr>
            <w:tcW w:type="dxa" w:w="4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Услуги экспертов, экспертных организаций, привлекаемых дл</w:t>
            </w:r>
            <w:r>
              <w:rPr>
                <w:rFonts w:ascii="Times New Roman" w:hAnsi="Times New Roman"/>
                <w:sz w:val="24"/>
              </w:rPr>
              <w:t>я проведения экспертизы поставленного товара, выполненной работы, оказанной услуги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type="dxa" w:w="22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100 000,00</w:t>
            </w:r>
          </w:p>
        </w:tc>
      </w:tr>
      <w:tr>
        <w:tc>
          <w:tcPr>
            <w:tcW w:type="dxa" w:w="4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картографических материалов по границам РПУ и границам рыбоводных участков (заказ картографических материалов, определение площадей РПУ и т.д)</w:t>
            </w:r>
          </w:p>
        </w:tc>
        <w:tc>
          <w:tcPr>
            <w:tcW w:type="dxa" w:w="22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</w:t>
            </w:r>
            <w:r>
              <w:rPr>
                <w:rFonts w:ascii="Times New Roman" w:hAnsi="Times New Roman"/>
                <w:sz w:val="24"/>
              </w:rPr>
              <w:t> 000,00</w:t>
            </w:r>
          </w:p>
        </w:tc>
      </w:tr>
      <w:tr>
        <w:tc>
          <w:tcPr>
            <w:tcW w:type="dxa" w:w="4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spacing w:after="0" w:line="240" w:lineRule="auto"/>
              <w:ind/>
              <w:jc w:val="both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Услуги по договорам, предметом которых является оказание </w:t>
            </w:r>
            <w:r>
              <w:rPr>
                <w:rFonts w:ascii="Times New Roman" w:hAnsi="Times New Roman"/>
                <w:i w:val="0"/>
                <w:sz w:val="24"/>
              </w:rPr>
              <w:t>физическим</w:t>
            </w:r>
            <w:r>
              <w:rPr>
                <w:rFonts w:ascii="Times New Roman" w:hAnsi="Times New Roman"/>
                <w:i w:val="0"/>
                <w:sz w:val="24"/>
              </w:rPr>
              <w:t xml:space="preserve"> лицом услуг, связанных с обеспечением деятельности Министерства (с учетом НДФЛ и начислений на оплату труда)</w:t>
            </w:r>
          </w:p>
        </w:tc>
        <w:tc>
          <w:tcPr>
            <w:tcW w:type="dxa" w:w="22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на 6 мес.</w:t>
            </w:r>
          </w:p>
        </w:tc>
        <w:tc>
          <w:tcPr>
            <w:tcW w:type="dxa" w:w="2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600 000,00*</w:t>
            </w:r>
          </w:p>
        </w:tc>
      </w:tr>
      <w:tr>
        <w:tc>
          <w:tcPr>
            <w:tcW w:type="dxa" w:w="4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Полиграфические услуги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</w:rPr>
              <w:t>разработк</w:t>
            </w:r>
            <w:r>
              <w:rPr>
                <w:rFonts w:ascii="Times New Roman" w:hAnsi="Times New Roman"/>
                <w:sz w:val="24"/>
              </w:rPr>
              <w:t>е дизайн-макет</w:t>
            </w:r>
            <w:r>
              <w:rPr>
                <w:rFonts w:ascii="Times New Roman" w:hAnsi="Times New Roman"/>
                <w:sz w:val="24"/>
              </w:rPr>
              <w:t>ов полиграфической продукции, а также услуги по их корректировке</w:t>
            </w:r>
          </w:p>
        </w:tc>
        <w:tc>
          <w:tcPr>
            <w:tcW w:type="dxa" w:w="22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10 000,00</w:t>
            </w:r>
          </w:p>
        </w:tc>
      </w:tr>
    </w:tbl>
    <w:p w14:paraId="55000000">
      <w:pPr>
        <w:pStyle w:val="Style_4"/>
        <w:tabs>
          <w:tab w:leader="none" w:pos="360" w:val="left"/>
          <w:tab w:leader="none" w:pos="993" w:val="left"/>
        </w:tabs>
        <w:spacing w:after="0" w:line="240" w:lineRule="auto"/>
        <w:ind w:firstLine="70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».</w:t>
      </w:r>
    </w:p>
    <w:p w14:paraId="5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7000000">
      <w:pPr>
        <w:spacing w:after="0" w:line="240" w:lineRule="auto"/>
        <w:ind w:firstLine="709" w:left="0"/>
        <w:jc w:val="both"/>
        <w:rPr>
          <w:rFonts w:ascii="Times New Roman" w:hAnsi="Times New Roman"/>
          <w:color w:themeColor="background1" w:val="FFFFFF"/>
          <w:sz w:val="28"/>
        </w:rPr>
      </w:pPr>
    </w:p>
    <w:p w14:paraId="58000000">
      <w:pPr>
        <w:spacing w:after="0" w:line="240" w:lineRule="auto"/>
        <w:ind w:firstLine="709" w:left="0"/>
        <w:jc w:val="both"/>
        <w:rPr>
          <w:rFonts w:ascii="Times New Roman" w:hAnsi="Times New Roman"/>
          <w:color w:themeColor="background1" w:val="FFFFFF"/>
          <w:sz w:val="28"/>
        </w:rPr>
      </w:pPr>
    </w:p>
    <w:tbl>
      <w:tblPr>
        <w:tblStyle w:val="Style_2"/>
        <w:tblW w:type="auto" w:w="0"/>
        <w:tblLayout w:type="fixed"/>
        <w:tblCellMar>
          <w:left w:type="dxa" w:w="0"/>
          <w:right w:type="dxa" w:w="0"/>
        </w:tblCellMar>
      </w:tblPr>
      <w:tblGrid>
        <w:gridCol w:w="2405"/>
        <w:gridCol w:w="4966"/>
        <w:gridCol w:w="2268"/>
      </w:tblGrid>
      <w:tr>
        <w:trPr>
          <w:trHeight w:hRule="atLeast" w:val="1707"/>
        </w:trPr>
        <w:tc>
          <w:tcPr>
            <w:tcW w:type="dxa" w:w="2405"/>
            <w:shd w:fill="auto" w:val="clear"/>
            <w:tcMar>
              <w:left w:type="dxa" w:w="0"/>
              <w:right w:type="dxa" w:w="0"/>
            </w:tcMar>
          </w:tcPr>
          <w:p w14:paraId="59000000">
            <w:pPr>
              <w:spacing w:after="0" w:line="240" w:lineRule="auto"/>
              <w:ind w:right="27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Министр</w:t>
            </w:r>
          </w:p>
          <w:p w14:paraId="5A00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color w:themeColor="background1" w:val="FFFFFF"/>
                <w:sz w:val="24"/>
              </w:rPr>
            </w:pPr>
          </w:p>
        </w:tc>
        <w:tc>
          <w:tcPr>
            <w:tcW w:type="dxa" w:w="4966"/>
            <w:shd w:fill="auto" w:val="clear"/>
            <w:tcMar>
              <w:left w:type="dxa" w:w="0"/>
              <w:right w:type="dxa" w:w="0"/>
            </w:tcMar>
          </w:tcPr>
          <w:p w14:paraId="5B000000">
            <w:pPr>
              <w:spacing w:after="0" w:line="240" w:lineRule="auto"/>
              <w:ind/>
              <w:rPr>
                <w:rFonts w:ascii="Times New Roman" w:hAnsi="Times New Roman"/>
                <w:color w:themeColor="background1"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themeColor="background1" w:val="FFFFFF"/>
                <w:sz w:val="24"/>
              </w:rPr>
              <w:t>[горизонтальный штамп подпи</w:t>
            </w:r>
            <w:bookmarkStart w:id="3" w:name="_GoBack"/>
            <w:bookmarkEnd w:id="3"/>
            <w:r>
              <w:rPr>
                <w:rFonts w:ascii="Times New Roman" w:hAnsi="Times New Roman"/>
                <w:color w:themeColor="background1" w:val="FFFFFF"/>
                <w:sz w:val="24"/>
              </w:rPr>
              <w:t>си 1]</w:t>
            </w:r>
            <w:bookmarkEnd w:id="2"/>
          </w:p>
        </w:tc>
        <w:tc>
          <w:tcPr>
            <w:tcW w:type="dxa" w:w="2268"/>
            <w:shd w:fill="auto" w:val="clear"/>
            <w:tcMar>
              <w:left w:type="dxa" w:w="0"/>
              <w:right w:type="dxa" w:w="0"/>
            </w:tcMar>
          </w:tcPr>
          <w:p w14:paraId="5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А.Г. Здетоветский</w:t>
            </w:r>
          </w:p>
        </w:tc>
      </w:tr>
    </w:tbl>
    <w:p w14:paraId="5D000000">
      <w:pPr>
        <w:spacing w:line="240" w:lineRule="auto"/>
        <w:ind/>
        <w:jc w:val="both"/>
      </w:pPr>
    </w:p>
    <w:sectPr>
      <w:headerReference r:id="rId1" w:type="default"/>
      <w:pgSz w:h="16848" w:orient="portrait" w:w="11908"/>
      <w:pgMar w:bottom="1134" w:footer="709" w:gutter="0" w:header="709" w:left="1417" w:right="850" w:top="141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Основной шрифт абзаца1"/>
    <w:link w:val="Style_10_ch"/>
  </w:style>
  <w:style w:styleId="Style_10_ch" w:type="character">
    <w:name w:val="Основной шрифт абзаца1"/>
    <w:link w:val="Style_10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13" w:type="paragraph">
    <w:name w:val="footer"/>
    <w:basedOn w:val="Style_5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13_ch" w:type="character">
    <w:name w:val="footer"/>
    <w:basedOn w:val="Style_5_ch"/>
    <w:link w:val="Style_13"/>
    <w:rPr>
      <w:rFonts w:ascii="Times New Roman" w:hAnsi="Times New Roman"/>
      <w:sz w:val="28"/>
    </w:rPr>
  </w:style>
  <w:style w:styleId="Style_14" w:type="paragraph">
    <w:name w:val="toc 3"/>
    <w:next w:val="Style_5"/>
    <w:link w:val="Style_14_ch"/>
    <w:uiPriority w:val="39"/>
    <w:pPr>
      <w:ind w:firstLine="0" w:left="400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Balloon Text"/>
    <w:basedOn w:val="Style_5"/>
    <w:link w:val="Style_15_ch"/>
    <w:pPr>
      <w:spacing w:after="0" w:line="240" w:lineRule="auto"/>
      <w:ind/>
    </w:pPr>
    <w:rPr>
      <w:rFonts w:ascii="Segoe UI" w:hAnsi="Segoe UI"/>
      <w:sz w:val="18"/>
    </w:rPr>
  </w:style>
  <w:style w:styleId="Style_15_ch" w:type="character">
    <w:name w:val="Balloon Text"/>
    <w:basedOn w:val="Style_5_ch"/>
    <w:link w:val="Style_15"/>
    <w:rPr>
      <w:rFonts w:ascii="Segoe UI" w:hAnsi="Segoe UI"/>
      <w:sz w:val="18"/>
    </w:rPr>
  </w:style>
  <w:style w:styleId="Style_16" w:type="paragraph">
    <w:name w:val="heading 5"/>
    <w:next w:val="Style_5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6_ch" w:type="character">
    <w:name w:val="heading 5"/>
    <w:link w:val="Style_16"/>
    <w:rPr>
      <w:rFonts w:ascii="XO Thames" w:hAnsi="XO Thames"/>
      <w:b w:val="1"/>
    </w:rPr>
  </w:style>
  <w:style w:styleId="Style_17" w:type="paragraph">
    <w:name w:val="heading 1"/>
    <w:next w:val="Style_5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</w:rPr>
  </w:style>
  <w:style w:styleId="Style_19_ch" w:type="character">
    <w:name w:val="Footnote"/>
    <w:link w:val="Style_19"/>
    <w:rPr>
      <w:rFonts w:ascii="XO Thames" w:hAnsi="XO Thames"/>
    </w:rPr>
  </w:style>
  <w:style w:styleId="Style_20" w:type="paragraph">
    <w:name w:val="toc 1"/>
    <w:next w:val="Style_5"/>
    <w:link w:val="Style_20_ch"/>
    <w:uiPriority w:val="39"/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ConsPlusNormal"/>
    <w:link w:val="Style_22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22_ch" w:type="character">
    <w:name w:val="ConsPlusNormal"/>
    <w:link w:val="Style_22"/>
    <w:rPr>
      <w:rFonts w:ascii="Arial" w:hAnsi="Arial"/>
      <w:sz w:val="20"/>
    </w:rPr>
  </w:style>
  <w:style w:styleId="Style_23" w:type="paragraph">
    <w:name w:val="toc 9"/>
    <w:next w:val="Style_5"/>
    <w:link w:val="Style_23_ch"/>
    <w:uiPriority w:val="39"/>
    <w:pPr>
      <w:ind w:firstLine="0" w:left="1600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Гиперссылка1"/>
    <w:basedOn w:val="Style_10"/>
    <w:link w:val="Style_24_ch"/>
    <w:rPr>
      <w:color w:themeColor="hyperlink" w:val="0563C1"/>
      <w:u w:val="single"/>
    </w:rPr>
  </w:style>
  <w:style w:styleId="Style_24_ch" w:type="character">
    <w:name w:val="Гиперссылка1"/>
    <w:basedOn w:val="Style_10_ch"/>
    <w:link w:val="Style_24"/>
    <w:rPr>
      <w:color w:themeColor="hyperlink" w:val="0563C1"/>
      <w:u w:val="single"/>
    </w:rPr>
  </w:style>
  <w:style w:styleId="Style_25" w:type="paragraph">
    <w:name w:val="toc 8"/>
    <w:next w:val="Style_5"/>
    <w:link w:val="Style_25_ch"/>
    <w:uiPriority w:val="39"/>
    <w:pPr>
      <w:ind w:firstLine="0" w:left="1400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5"/>
    <w:link w:val="Style_26_ch"/>
    <w:uiPriority w:val="39"/>
    <w:pPr>
      <w:ind w:firstLine="0" w:left="800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Plain Text"/>
    <w:basedOn w:val="Style_5"/>
    <w:link w:val="Style_27_ch"/>
    <w:pPr>
      <w:spacing w:after="0" w:line="240" w:lineRule="auto"/>
      <w:ind/>
    </w:pPr>
    <w:rPr>
      <w:rFonts w:ascii="Calibri" w:hAnsi="Calibri"/>
    </w:rPr>
  </w:style>
  <w:style w:styleId="Style_27_ch" w:type="character">
    <w:name w:val="Plain Text"/>
    <w:basedOn w:val="Style_5_ch"/>
    <w:link w:val="Style_27"/>
    <w:rPr>
      <w:rFonts w:ascii="Calibri" w:hAnsi="Calibri"/>
    </w:rPr>
  </w:style>
  <w:style w:styleId="Style_4" w:type="paragraph">
    <w:name w:val="List Paragraph"/>
    <w:basedOn w:val="Style_5"/>
    <w:link w:val="Style_4_ch"/>
    <w:pPr>
      <w:ind w:firstLine="0" w:left="720"/>
      <w:contextualSpacing w:val="1"/>
    </w:pPr>
  </w:style>
  <w:style w:styleId="Style_4_ch" w:type="character">
    <w:name w:val="List Paragraph"/>
    <w:basedOn w:val="Style_5_ch"/>
    <w:link w:val="Style_4"/>
  </w:style>
  <w:style w:styleId="Style_28" w:type="paragraph">
    <w:name w:val="Subtitle"/>
    <w:next w:val="Style_5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Обычный1"/>
    <w:link w:val="Style_29_ch"/>
  </w:style>
  <w:style w:styleId="Style_29_ch" w:type="character">
    <w:name w:val="Обычный1"/>
    <w:link w:val="Style_29"/>
  </w:style>
  <w:style w:styleId="Style_30" w:type="paragraph">
    <w:name w:val="Title"/>
    <w:next w:val="Style_5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5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5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3" w:type="paragraph">
    <w:name w:val="Default Paragraph Font"/>
    <w:link w:val="Style_33_ch"/>
  </w:style>
  <w:style w:styleId="Style_33_ch" w:type="character">
    <w:name w:val="Default Paragraph Font"/>
    <w:link w:val="Style_33"/>
  </w:style>
  <w:style w:styleId="Style_3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4" w:type="table">
    <w:name w:val="Сетка таблицы2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" w:type="table">
    <w:name w:val="Сетка таблицы1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2024-07-08T02:00:19Z</dcterms:modified>
</cp:coreProperties>
</file>