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60"/>
      </w:tblGrid>
      <w:tr>
        <w:trPr>
          <w:trHeight w:hRule="atLeast" w:val="360"/>
        </w:trPr>
        <w:tc>
          <w:tcPr>
            <w:tcW w:type="dxa" w:w="386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3000000">
            <w:pPr>
              <w:spacing w:after="0" w:line="240" w:lineRule="auto"/>
              <w:ind/>
              <w:rPr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ПРОЕКТ</w:t>
            </w:r>
          </w:p>
        </w:tc>
      </w:tr>
    </w:tbl>
    <w:p w14:paraId="0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05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</w:t>
      </w:r>
      <w:r>
        <w:rPr>
          <w:rFonts w:ascii="Times New Roman" w:hAnsi="Times New Roman"/>
          <w:sz w:val="28"/>
        </w:rPr>
        <w:t xml:space="preserve"> развития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0A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</w:p>
    <w:p w14:paraId="0B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2804795</wp:posOffset>
                </wp:positionH>
                <wp:positionV relativeFrom="paragraph">
                  <wp:posOffset>-1369695</wp:posOffset>
                </wp:positionV>
                <wp:extent cx="474980" cy="3048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7498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pPr>
        <w:spacing w:line="240" w:lineRule="auto"/>
        <w:ind w:firstLine="0" w:left="5245"/>
        <w:rPr>
          <w:rFonts w:ascii="Times New Roman" w:hAnsi="Times New Roman"/>
          <w:sz w:val="28"/>
        </w:rPr>
      </w:pPr>
    </w:p>
    <w:p w14:paraId="0D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10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12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13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14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15000000">
      <w:pPr>
        <w:pStyle w:val="Style_3"/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16000000">
      <w:pPr>
        <w:pStyle w:val="Style_3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</w:t>
      </w:r>
    </w:p>
    <w:p w14:paraId="17000000">
      <w:pPr>
        <w:pStyle w:val="Style_3"/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18000000">
      <w:pPr>
        <w:pStyle w:val="Style_3"/>
        <w:spacing w:line="276" w:lineRule="auto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о результатах обобщения правоприменительной практики за 2023 год</w:t>
      </w:r>
    </w:p>
    <w:p w14:paraId="19000000">
      <w:pPr>
        <w:pStyle w:val="Style_3"/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pStyle w:val="Style_3"/>
        <w:spacing w:line="276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Региональный государственный контроль (надзор) </w:t>
      </w:r>
      <w:r>
        <w:rPr>
          <w:rFonts w:ascii="Times New Roman" w:hAnsi="Times New Roman"/>
          <w:b w:val="0"/>
          <w:sz w:val="28"/>
        </w:rPr>
        <w:t xml:space="preserve">в области розничной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продажи алкогольной и спиртосодержащей продукции</w:t>
      </w:r>
    </w:p>
    <w:p w14:paraId="1B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1C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1D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1E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1F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0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1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2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3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4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5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6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7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8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9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A000000">
      <w:pPr>
        <w:pStyle w:val="Style_3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B000000">
      <w:pPr>
        <w:pStyle w:val="Style_3"/>
        <w:spacing w:line="23" w:lineRule="atLeas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г. </w:t>
      </w:r>
      <w:r>
        <w:rPr>
          <w:rFonts w:ascii="Times New Roman" w:hAnsi="Times New Roman"/>
          <w:b w:val="0"/>
          <w:sz w:val="28"/>
        </w:rPr>
        <w:t>Петропавловск-Камчатский</w:t>
      </w:r>
    </w:p>
    <w:p w14:paraId="2C000000">
      <w:pPr>
        <w:pStyle w:val="Style_3"/>
        <w:spacing w:line="23" w:lineRule="atLeas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2024</w:t>
      </w:r>
    </w:p>
    <w:p w14:paraId="2D000000">
      <w:pPr>
        <w:sectPr>
          <w:headerReference r:id="rId2" w:type="default"/>
          <w:pgSz w:h="16838" w:orient="portrait" w:w="11906"/>
          <w:pgMar w:bottom="1134" w:footer="0" w:gutter="0" w:header="567" w:left="1418" w:right="851" w:top="1134"/>
          <w:titlePg/>
        </w:sectPr>
      </w:pPr>
    </w:p>
    <w:p w14:paraId="2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6 Федерального закона от 22.11.1995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171-ФЗ «О </w:t>
      </w:r>
      <w:r>
        <w:rPr>
          <w:rFonts w:ascii="Times New Roman" w:hAnsi="Times New Roman"/>
          <w:sz w:val="28"/>
        </w:rPr>
        <w:t xml:space="preserve"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— Федеральный закон № 171-ФЗ), статьей 5 закона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04.05</w:t>
      </w:r>
      <w:r>
        <w:rPr>
          <w:rFonts w:ascii="Times New Roman" w:hAnsi="Times New Roman"/>
          <w:sz w:val="28"/>
        </w:rPr>
        <w:t xml:space="preserve">.2011 № 598 «Об отдельных вопросах в области производства и оборота этилового спирта, алкогольной и спиртосодержащей продукции в Камчатском крае»,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27.12.2012 № 590-П «Об утверждении Положения о Министерстве</w:t>
      </w:r>
      <w:r>
        <w:rPr>
          <w:rFonts w:ascii="Times New Roman" w:hAnsi="Times New Roman"/>
          <w:sz w:val="28"/>
        </w:rPr>
        <w:t xml:space="preserve"> экономического развития Камчатского края» Министерство экономического развития Камчатского края (далее — Министерство) является исполнительным органом Камчатского края, уполномоченным на осуществление регионального государственного контроля (надзора) в об</w:t>
      </w:r>
      <w:r>
        <w:rPr>
          <w:rFonts w:ascii="Times New Roman" w:hAnsi="Times New Roman"/>
          <w:sz w:val="28"/>
        </w:rPr>
        <w:t>ласти розничной продажи алкогольной и спиртосодержащей продукции (далее — региональный государственный контроль).</w:t>
      </w:r>
    </w:p>
    <w:p w14:paraId="2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01.01.2022 региональный государственный контроль осуществляется Министерством в соответствии с Федеральным законом от 31.07.2020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248-ФЗ 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 в Российской Федерации» и принятым на его основании постановлением Правительства Камчатского края от 03.11.2021 № 466-П «Об утверждении Положения о региональном государственном контроле (надзоре</w:t>
      </w:r>
      <w:r>
        <w:rPr>
          <w:rFonts w:ascii="Times New Roman" w:hAnsi="Times New Roman"/>
          <w:sz w:val="28"/>
        </w:rPr>
        <w:t>) в области розничной продажи алкогольной и спиртосодержащей продукции на территории Камчатского края».</w:t>
      </w:r>
    </w:p>
    <w:p w14:paraId="3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подконтрольных субъектов, в отношении которых проводятся мероприятия по контролю, — это лицензиаты, а также организации и индивидуальные предприним</w:t>
      </w:r>
      <w:r>
        <w:rPr>
          <w:rFonts w:ascii="Times New Roman" w:hAnsi="Times New Roman"/>
          <w:sz w:val="28"/>
        </w:rPr>
        <w:t xml:space="preserve">атели, осуществляющие реализацию пива, пивных напитков, сидра, пуаре и медовухи в регионе. </w:t>
      </w:r>
    </w:p>
    <w:p w14:paraId="3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регионального государственного контроля являются:</w:t>
      </w:r>
    </w:p>
    <w:p w14:paraId="3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лицензионные требования к розничной продаже алкогольной продукции и розничной продаже алкогольной прод</w:t>
      </w:r>
      <w:r>
        <w:rPr>
          <w:rFonts w:ascii="Times New Roman" w:hAnsi="Times New Roman"/>
          <w:sz w:val="28"/>
        </w:rPr>
        <w:t>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14:paraId="3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обязательные требования к </w:t>
      </w:r>
      <w:r>
        <w:rPr>
          <w:rFonts w:ascii="Times New Roman" w:hAnsi="Times New Roman"/>
          <w:sz w:val="28"/>
        </w:rPr>
        <w:t xml:space="preserve">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171-ФЗ; обязательные требования к розничной продаже спиртосодержащей продукции; обяз</w:t>
      </w:r>
      <w:r>
        <w:rPr>
          <w:rFonts w:ascii="Times New Roman" w:hAnsi="Times New Roman"/>
          <w:sz w:val="28"/>
        </w:rPr>
        <w:t xml:space="preserve">ательные требования к фиксации в Единой государственной автоматизированной информационной системе (далее — ЕГАИС) сведений об обороте алкогольной продукции лицами, осуществляющими ее розничную продажу, за исключением обязательных требований, установленных </w:t>
      </w:r>
      <w:r>
        <w:rPr>
          <w:rFonts w:ascii="Times New Roman" w:hAnsi="Times New Roman"/>
          <w:sz w:val="28"/>
        </w:rPr>
        <w:t>техническими регламентами;</w:t>
      </w:r>
    </w:p>
    <w:p w14:paraId="3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обязательные требования к декларированию объема розничной продажи алкогольной и спиртосодержащей продукции; объема собранного винограда для производства винодельческой продукции.</w:t>
      </w:r>
    </w:p>
    <w:p w14:paraId="3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по организации и осуществлению Мини</w:t>
      </w:r>
      <w:r>
        <w:rPr>
          <w:rFonts w:ascii="Times New Roman" w:hAnsi="Times New Roman"/>
          <w:sz w:val="28"/>
        </w:rPr>
        <w:t>стерством регионального государственного контроля (надзора)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области розничной продажи алкогольной и спиртосодержащей продукции</w:t>
      </w:r>
      <w:r>
        <w:rPr>
          <w:rFonts w:ascii="Times New Roman" w:hAnsi="Times New Roman"/>
          <w:sz w:val="28"/>
        </w:rPr>
        <w:t xml:space="preserve"> заключается в проведении профилактических мероприятий и внеплановых проверок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(со взаимодействием и без взаимодействия с контролируемым лицом). Организация плановых проверок не предусмотрена.</w:t>
      </w:r>
    </w:p>
    <w:p w14:paraId="3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 со</w:t>
      </w:r>
      <w:r>
        <w:rPr>
          <w:rFonts w:ascii="Times New Roman" w:hAnsi="Times New Roman"/>
          <w:sz w:val="28"/>
        </w:rPr>
        <w:t xml:space="preserve">ответствии с </w:t>
      </w:r>
      <w:r>
        <w:rPr>
          <w:rFonts w:ascii="Times New Roman" w:hAnsi="Times New Roman"/>
          <w:sz w:val="28"/>
          <w:highlight w:val="white"/>
        </w:rPr>
        <w:t xml:space="preserve">постановлением Правительства Российской Федерации </w:t>
      </w:r>
      <w:r>
        <w:rPr>
          <w:rFonts w:ascii="Times New Roman" w:hAnsi="Times New Roman"/>
          <w:sz w:val="28"/>
          <w:highlight w:val="white"/>
        </w:rPr>
        <w:t>от 10.03.2022 № 336 «Об особенностях организации и осуществления государственного контроля (надзора), муниципального контроля» в 2023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продолжено действие моратори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  <w:highlight w:val="white"/>
        </w:rPr>
        <w:t xml:space="preserve"> на проведение плановых и внеплан</w:t>
      </w:r>
      <w:r>
        <w:rPr>
          <w:rFonts w:ascii="Times New Roman" w:hAnsi="Times New Roman"/>
          <w:sz w:val="28"/>
          <w:highlight w:val="white"/>
        </w:rPr>
        <w:t>овых проверок, за исключением случаев</w:t>
      </w:r>
      <w:r>
        <w:rPr>
          <w:rFonts w:ascii="Times New Roman" w:hAnsi="Times New Roman"/>
          <w:sz w:val="28"/>
        </w:rPr>
        <w:t xml:space="preserve"> наличия непосредственной угрозы либо факта причинения вреда жизни и тяжкого вреда здоровью граждан</w:t>
      </w:r>
      <w:r>
        <w:rPr>
          <w:rFonts w:ascii="Times New Roman" w:hAnsi="Times New Roman"/>
          <w:sz w:val="28"/>
          <w:highlight w:val="white"/>
        </w:rPr>
        <w:t>.</w:t>
      </w:r>
    </w:p>
    <w:p w14:paraId="3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чем в настоящее время в работе Министерства  сделан </w:t>
      </w:r>
      <w:r>
        <w:rPr>
          <w:rFonts w:ascii="Times New Roman" w:hAnsi="Times New Roman"/>
          <w:sz w:val="28"/>
        </w:rPr>
        <w:t>акцент</w:t>
      </w:r>
      <w:r>
        <w:rPr>
          <w:rFonts w:ascii="Times New Roman" w:hAnsi="Times New Roman"/>
          <w:sz w:val="28"/>
        </w:rPr>
        <w:t xml:space="preserve"> на превентивные меры, направленные на снижение вер</w:t>
      </w:r>
      <w:r>
        <w:rPr>
          <w:rFonts w:ascii="Times New Roman" w:hAnsi="Times New Roman"/>
          <w:sz w:val="28"/>
        </w:rPr>
        <w:t xml:space="preserve">оятности наступления рисков возможных нарушений обязательных требований в сфере оборота алкогольной продукции, в рамках которых в 2023 году: </w:t>
      </w:r>
    </w:p>
    <w:p w14:paraId="3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проведено 33 профилактических визита к лицензиатам, получившим лицензию на осуществление розничной продажи алког</w:t>
      </w:r>
      <w:r>
        <w:rPr>
          <w:rFonts w:ascii="Times New Roman" w:hAnsi="Times New Roman"/>
          <w:sz w:val="28"/>
        </w:rPr>
        <w:t>ольной продукции (в том числе в объектах общественного питания), в результате которых должностными лицами в форме профилактической беседы разъяснены обязательные требования законодательства, подлежащие исполнению в связи с реализацией указанной деятельност</w:t>
      </w:r>
      <w:r>
        <w:rPr>
          <w:rFonts w:ascii="Times New Roman" w:hAnsi="Times New Roman"/>
          <w:sz w:val="28"/>
        </w:rPr>
        <w:t>и;</w:t>
      </w:r>
    </w:p>
    <w:p w14:paraId="3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организовано 14 контрольно-надзорных мероприятий без взаимодействия с контролируемыми лицами, в том числе на основании полученных данных о нарушениях требований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171-ФЗ;</w:t>
      </w:r>
    </w:p>
    <w:p w14:paraId="3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объявлено 49 предостережений контролируемым лицам о недопу</w:t>
      </w:r>
      <w:r>
        <w:rPr>
          <w:rFonts w:ascii="Times New Roman" w:hAnsi="Times New Roman"/>
          <w:sz w:val="28"/>
        </w:rPr>
        <w:t>стимости нарушения обязательных требований (далее — предостережение);</w:t>
      </w:r>
    </w:p>
    <w:p w14:paraId="3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осуществлено более 300 консультаций по вопросам, относящимся к сфере оборота алкогольной продукции, посредс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телефонной связи или личного приема;</w:t>
      </w:r>
    </w:p>
    <w:p w14:paraId="3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проведено 4</w:t>
      </w:r>
      <w:r>
        <w:rPr>
          <w:rFonts w:ascii="Times New Roman" w:hAnsi="Times New Roman"/>
          <w:sz w:val="28"/>
        </w:rPr>
        <w:t xml:space="preserve"> публичных</w:t>
      </w:r>
      <w:r>
        <w:rPr>
          <w:rFonts w:ascii="Times New Roman" w:hAnsi="Times New Roman"/>
          <w:sz w:val="28"/>
        </w:rPr>
        <w:t xml:space="preserve"> мероприятия </w:t>
      </w:r>
      <w:r>
        <w:rPr>
          <w:rFonts w:ascii="Times New Roman" w:hAnsi="Times New Roman"/>
          <w:sz w:val="28"/>
        </w:rPr>
        <w:t>с представителями бизнес-сообщества</w:t>
      </w:r>
      <w:r>
        <w:rPr>
          <w:rFonts w:ascii="Times New Roman" w:hAnsi="Times New Roman"/>
          <w:sz w:val="28"/>
        </w:rPr>
        <w:t xml:space="preserve"> (2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z w:val="28"/>
        </w:rPr>
        <w:t xml:space="preserve"> в формате </w:t>
      </w:r>
      <w:r>
        <w:rPr>
          <w:rFonts w:ascii="Times New Roman" w:hAnsi="Times New Roman"/>
          <w:sz w:val="28"/>
        </w:rPr>
        <w:t>видео-конференц-связи, 2 прямых эфира на официальной странице Министерства в социальной сети «ВКонтакте»);</w:t>
      </w:r>
    </w:p>
    <w:p w14:paraId="3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на постоянной основе осуществлялось информирование посредс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размещения актуальных сведе</w:t>
      </w:r>
      <w:r>
        <w:rPr>
          <w:rFonts w:ascii="Times New Roman" w:hAnsi="Times New Roman"/>
          <w:sz w:val="28"/>
        </w:rPr>
        <w:t>ний на официальной странице Министерства в информационно-телекоммуникационной сети «Интернет» (в том числе опубликован перечень правовых актов или их отдельных частей, содержащих обязательные требования, оценка соблюдения которых является предметом региона</w:t>
      </w:r>
      <w:r>
        <w:rPr>
          <w:rFonts w:ascii="Times New Roman" w:hAnsi="Times New Roman"/>
          <w:sz w:val="28"/>
        </w:rPr>
        <w:t>льного государственного контроля);</w:t>
      </w:r>
    </w:p>
    <w:p w14:paraId="3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актуализировано и размещено во вкладке «Региональный госконтроль» </w:t>
      </w:r>
      <w:r>
        <w:rPr>
          <w:rFonts w:ascii="Times New Roman" w:hAnsi="Times New Roman"/>
          <w:sz w:val="28"/>
        </w:rPr>
        <w:t>на официальной странице Министерства в информационно-телекоммуникационной сети «Интернет» «Руководство по соблюдению обязательных требований при осуществлен</w:t>
      </w:r>
      <w:r>
        <w:rPr>
          <w:rFonts w:ascii="Times New Roman" w:hAnsi="Times New Roman"/>
          <w:sz w:val="28"/>
        </w:rPr>
        <w:t xml:space="preserve">ии розничной продажи </w:t>
      </w:r>
      <w:r>
        <w:rPr>
          <w:rFonts w:ascii="Times New Roman" w:hAnsi="Times New Roman"/>
          <w:sz w:val="28"/>
        </w:rPr>
        <w:t>алкогольной продукции и розничной продажи алкогольной продукции при оказании услуг общественного питания», а также список контрольных вопросов, ответы на которые свидетельствуют о соблюдении или несоблюдении контролируемым лицом обязат</w:t>
      </w:r>
      <w:r>
        <w:rPr>
          <w:rFonts w:ascii="Times New Roman" w:hAnsi="Times New Roman"/>
          <w:sz w:val="28"/>
        </w:rPr>
        <w:t>ельных требований.</w:t>
      </w:r>
    </w:p>
    <w:p w14:paraId="3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видами нарушений, выявленными при осуществлении регионального государственного контроля в 2023 году, стали: </w:t>
      </w:r>
    </w:p>
    <w:p w14:paraId="40000000">
      <w:p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— розничная продажа алкогольной </w:t>
      </w:r>
      <w:r>
        <w:rPr>
          <w:rFonts w:ascii="Times New Roman" w:hAnsi="Times New Roman"/>
          <w:sz w:val="28"/>
        </w:rPr>
        <w:t>продукции в запрещенные дни, а также в нестационарных торговых объектах (объявлено 29 пр</w:t>
      </w:r>
      <w:r>
        <w:rPr>
          <w:rFonts w:ascii="Times New Roman" w:hAnsi="Times New Roman"/>
          <w:color w:val="000000"/>
          <w:sz w:val="28"/>
        </w:rPr>
        <w:t>едостережений);</w:t>
      </w:r>
    </w:p>
    <w:p w14:paraId="4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 xml:space="preserve"> розничная продажа алкогольной продукции при оказании услуг общественного питания на вынос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</w:t>
      </w:r>
      <w:r>
        <w:rPr>
          <w:rFonts w:ascii="Times New Roman" w:hAnsi="Times New Roman"/>
          <w:color w:val="000000"/>
          <w:sz w:val="28"/>
        </w:rPr>
        <w:t>бъявлено 1 предостережен</w:t>
      </w:r>
      <w:r>
        <w:rPr>
          <w:rFonts w:ascii="Times New Roman" w:hAnsi="Times New Roman"/>
          <w:sz w:val="28"/>
        </w:rPr>
        <w:t>ие);</w:t>
      </w:r>
    </w:p>
    <w:p w14:paraId="42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— розничная продажа алкогольной продукции </w:t>
      </w:r>
      <w:r>
        <w:rPr>
          <w:rFonts w:ascii="Times New Roman" w:hAnsi="Times New Roman"/>
          <w:b w:val="0"/>
          <w:color w:val="000000"/>
          <w:sz w:val="28"/>
        </w:rPr>
        <w:t>в зданиях, строениях, сооружениях, в которых осуществляют деятельность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 (о</w:t>
      </w:r>
      <w:r>
        <w:rPr>
          <w:rFonts w:ascii="Times New Roman" w:hAnsi="Times New Roman"/>
          <w:color w:val="000000"/>
          <w:sz w:val="28"/>
        </w:rPr>
        <w:t>бъявлено 1 предостережен</w:t>
      </w:r>
      <w:r>
        <w:rPr>
          <w:rFonts w:ascii="Times New Roman" w:hAnsi="Times New Roman"/>
          <w:sz w:val="28"/>
        </w:rPr>
        <w:t>ие);</w:t>
      </w:r>
    </w:p>
    <w:p w14:paraId="43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— розничная продажа алкогольной продукции в зданиях, строениях, сооружениях, в которых размещены объекты спорта </w:t>
      </w:r>
      <w:r>
        <w:rPr>
          <w:rFonts w:ascii="Times New Roman" w:hAnsi="Times New Roman"/>
          <w:color w:val="000000"/>
          <w:sz w:val="28"/>
        </w:rPr>
        <w:t>(о</w:t>
      </w:r>
      <w:r>
        <w:rPr>
          <w:rFonts w:ascii="Times New Roman" w:hAnsi="Times New Roman"/>
          <w:color w:val="000000"/>
          <w:sz w:val="28"/>
        </w:rPr>
        <w:t>бъявлено 1 предостережен</w:t>
      </w:r>
      <w:r>
        <w:rPr>
          <w:rFonts w:ascii="Times New Roman" w:hAnsi="Times New Roman"/>
          <w:sz w:val="28"/>
        </w:rPr>
        <w:t>ие)</w:t>
      </w:r>
      <w:r>
        <w:rPr>
          <w:rFonts w:ascii="Times New Roman" w:hAnsi="Times New Roman"/>
          <w:color w:val="000000"/>
          <w:sz w:val="28"/>
        </w:rPr>
        <w:t>;</w:t>
      </w:r>
    </w:p>
    <w:p w14:paraId="44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— </w:t>
      </w:r>
      <w:r>
        <w:rPr>
          <w:rFonts w:ascii="Times New Roman" w:hAnsi="Times New Roman"/>
          <w:sz w:val="28"/>
        </w:rPr>
        <w:t xml:space="preserve">отсутствие учета </w:t>
      </w:r>
      <w:r>
        <w:rPr>
          <w:rFonts w:ascii="Times New Roman" w:hAnsi="Times New Roman"/>
          <w:sz w:val="28"/>
        </w:rPr>
        <w:t xml:space="preserve">оборота алкогольной продукции в Единой государственной автоматизированной информационной системе </w:t>
      </w:r>
      <w:r>
        <w:rPr>
          <w:rFonts w:ascii="Times New Roman" w:hAnsi="Times New Roman"/>
          <w:sz w:val="28"/>
        </w:rPr>
        <w:t xml:space="preserve">учета объемов производства и оборота этилового спирта, </w:t>
      </w:r>
      <w:r>
        <w:rPr>
          <w:rFonts w:ascii="Times New Roman" w:hAnsi="Times New Roman"/>
          <w:sz w:val="28"/>
        </w:rPr>
        <w:t xml:space="preserve">алкогольной и спиртосодержащей продукции </w:t>
      </w:r>
      <w:r>
        <w:rPr>
          <w:rFonts w:ascii="Times New Roman" w:hAnsi="Times New Roman"/>
          <w:color w:val="000000"/>
          <w:sz w:val="28"/>
        </w:rPr>
        <w:t>(о</w:t>
      </w:r>
      <w:r>
        <w:rPr>
          <w:rFonts w:ascii="Times New Roman" w:hAnsi="Times New Roman"/>
          <w:color w:val="000000"/>
          <w:sz w:val="28"/>
        </w:rPr>
        <w:t>бъявлено 1 предостережен</w:t>
      </w:r>
      <w:r>
        <w:rPr>
          <w:rFonts w:ascii="Times New Roman" w:hAnsi="Times New Roman"/>
          <w:sz w:val="28"/>
        </w:rPr>
        <w:t>ие)</w:t>
      </w:r>
      <w:r>
        <w:rPr>
          <w:rFonts w:ascii="Times New Roman" w:hAnsi="Times New Roman"/>
          <w:b w:val="0"/>
          <w:color w:val="000000"/>
          <w:sz w:val="28"/>
        </w:rPr>
        <w:t xml:space="preserve">; </w:t>
      </w:r>
    </w:p>
    <w:p w14:paraId="45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— </w:t>
      </w:r>
      <w:r>
        <w:rPr>
          <w:rFonts w:ascii="Times New Roman" w:hAnsi="Times New Roman"/>
          <w:sz w:val="28"/>
        </w:rPr>
        <w:t xml:space="preserve">не направление в </w:t>
      </w:r>
      <w:r>
        <w:rPr>
          <w:rFonts w:ascii="Times New Roman" w:hAnsi="Times New Roman"/>
          <w:sz w:val="28"/>
        </w:rPr>
        <w:t>ЕГАИС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нформации о принятии алкогольной продукции </w:t>
      </w:r>
      <w:r>
        <w:rPr>
          <w:rFonts w:ascii="Times New Roman" w:hAnsi="Times New Roman"/>
          <w:color w:val="000000"/>
          <w:sz w:val="28"/>
        </w:rPr>
        <w:t>по товарно-транспортной накладной (объявлено 16 предостережений)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4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видно из вышеприведенных данных, наиболее распространенным правонарушением является</w:t>
      </w:r>
      <w:r>
        <w:t xml:space="preserve"> </w:t>
      </w:r>
      <w:r>
        <w:rPr>
          <w:rFonts w:ascii="Times New Roman" w:hAnsi="Times New Roman"/>
          <w:sz w:val="28"/>
        </w:rPr>
        <w:t>нарушение особых требований и правил розничной продажи алкогольной продукции. К данной категории</w:t>
      </w:r>
      <w:r>
        <w:rPr>
          <w:rFonts w:ascii="Times New Roman" w:hAnsi="Times New Roman"/>
          <w:sz w:val="28"/>
        </w:rPr>
        <w:t xml:space="preserve"> относятся такие</w:t>
      </w:r>
      <w:r>
        <w:rPr>
          <w:rFonts w:ascii="Times New Roman" w:hAnsi="Times New Roman"/>
          <w:sz w:val="28"/>
        </w:rPr>
        <w:t xml:space="preserve"> нарушения, как розничная продажа алкогольной продукции  в дни, в которые постановлением Правительства Камчатского края от 28.03.2012 № 167-П «Об установлении дополнительных ограничений времени, условий и мест розн</w:t>
      </w:r>
      <w:r>
        <w:rPr>
          <w:rFonts w:ascii="Times New Roman" w:hAnsi="Times New Roman"/>
          <w:sz w:val="28"/>
        </w:rPr>
        <w:t>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края» (далее — постановление № 167-П) установлены запрет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(25 января — «День студентов»; 1 июня </w:t>
      </w:r>
      <w:r>
        <w:rPr>
          <w:rFonts w:ascii="Times New Roman" w:hAnsi="Times New Roman"/>
          <w:sz w:val="28"/>
        </w:rPr>
        <w:t xml:space="preserve">— «Международный день защиты детей»; последняя суббота июня —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День молодежи»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 сентября — «День знаний» либо иной день, в которые проводятся торжественные линейки; 11 </w:t>
      </w:r>
      <w:r>
        <w:rPr>
          <w:rFonts w:ascii="Times New Roman" w:hAnsi="Times New Roman"/>
          <w:sz w:val="28"/>
        </w:rPr>
        <w:t>сентября — «Всероссийский день трезвости»).</w:t>
      </w:r>
    </w:p>
    <w:p w14:paraId="4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причин совершения правонарушений можно выделить:</w:t>
      </w:r>
    </w:p>
    <w:p w14:paraId="4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отсутствие контроля со стороны руководства организаций-лицензиатов и предпринимателей за действиями продавцов;</w:t>
      </w:r>
    </w:p>
    <w:p w14:paraId="4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недостаточная разъяснительна</w:t>
      </w:r>
      <w:r>
        <w:rPr>
          <w:rFonts w:ascii="Times New Roman" w:hAnsi="Times New Roman"/>
          <w:sz w:val="28"/>
        </w:rPr>
        <w:t>я работа с персоналом, которым своевременно не доводится информация о запретах в области розничной продажи алкогольной продукции.</w:t>
      </w:r>
    </w:p>
    <w:p w14:paraId="4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недопущения совершения указанных правонарушений </w:t>
      </w:r>
      <w:r>
        <w:rPr>
          <w:rFonts w:ascii="Times New Roman" w:hAnsi="Times New Roman"/>
          <w:sz w:val="28"/>
        </w:rPr>
        <w:t>контролир</w:t>
      </w:r>
      <w:r>
        <w:rPr>
          <w:rFonts w:ascii="Times New Roman" w:hAnsi="Times New Roman"/>
          <w:sz w:val="28"/>
        </w:rPr>
        <w:t>уемым лицам</w:t>
      </w:r>
      <w:r>
        <w:rPr>
          <w:rFonts w:ascii="Times New Roman" w:hAnsi="Times New Roman"/>
          <w:sz w:val="28"/>
        </w:rPr>
        <w:t xml:space="preserve"> рекоме</w:t>
      </w:r>
      <w:r>
        <w:rPr>
          <w:rFonts w:ascii="Times New Roman" w:hAnsi="Times New Roman"/>
          <w:sz w:val="28"/>
        </w:rPr>
        <w:t xml:space="preserve">ндуется: </w:t>
      </w:r>
    </w:p>
    <w:p w14:paraId="4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своевременно информировать персонал о действующих за</w:t>
      </w:r>
      <w:r>
        <w:rPr>
          <w:rFonts w:ascii="Times New Roman" w:hAnsi="Times New Roman"/>
          <w:sz w:val="28"/>
        </w:rPr>
        <w:t>претах и ограничениях в сфере розничной продажи алкогольной продукции;</w:t>
      </w:r>
    </w:p>
    <w:p w14:paraId="4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организовать применение настроек автоматизированных товароучетных систем, не позволяющих провести розничную продажу алкогольной продукции через контрольно-кассовую технику в запретный</w:t>
      </w:r>
      <w:r>
        <w:rPr>
          <w:rFonts w:ascii="Times New Roman" w:hAnsi="Times New Roman"/>
          <w:sz w:val="28"/>
        </w:rPr>
        <w:t xml:space="preserve"> период;</w:t>
      </w:r>
    </w:p>
    <w:p w14:paraId="4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осуществлять систематический контроль за действиями персонала;</w:t>
      </w:r>
    </w:p>
    <w:p w14:paraId="4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установить режим рабочего времени, обеспечивающий соблюдение требований к времени розничной продажи алкогольной продукции.</w:t>
      </w:r>
    </w:p>
    <w:p w14:paraId="4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втором месте по распространенност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правонарушений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— это </w:t>
      </w:r>
      <w:r>
        <w:rPr>
          <w:rFonts w:ascii="Times New Roman" w:hAnsi="Times New Roman"/>
          <w:sz w:val="28"/>
        </w:rPr>
        <w:t xml:space="preserve">не направление в </w:t>
      </w:r>
      <w:r>
        <w:rPr>
          <w:rFonts w:ascii="Times New Roman" w:hAnsi="Times New Roman"/>
          <w:sz w:val="28"/>
        </w:rPr>
        <w:t>ЕГАИС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нформации о принятии алкогольной продукции </w:t>
      </w:r>
      <w:r>
        <w:rPr>
          <w:rFonts w:ascii="Times New Roman" w:hAnsi="Times New Roman"/>
          <w:color w:val="000000"/>
          <w:sz w:val="28"/>
        </w:rPr>
        <w:t>по товарно-транспортной накладно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Причинами совершения данного правонарушения являются ненадлежащее исполнение персоналом обязанностей по учету алкогольной продукции, установленных законодательство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отсутствие контр</w:t>
      </w:r>
      <w:r>
        <w:rPr>
          <w:rFonts w:ascii="Times New Roman" w:hAnsi="Times New Roman"/>
          <w:sz w:val="28"/>
        </w:rPr>
        <w:t>оля за действиями персон</w:t>
      </w:r>
      <w:r>
        <w:rPr>
          <w:rFonts w:ascii="Times New Roman" w:hAnsi="Times New Roman"/>
          <w:sz w:val="28"/>
        </w:rPr>
        <w:t>ала.</w:t>
      </w:r>
    </w:p>
    <w:p w14:paraId="5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четном году Министерством в целях осуществления регионального государственного контроля </w:t>
      </w:r>
      <w:r>
        <w:rPr>
          <w:rFonts w:ascii="Times New Roman" w:hAnsi="Times New Roman"/>
          <w:sz w:val="28"/>
        </w:rPr>
        <w:t>в области розничной продажи алкогольной и спиртосодержащей продукции</w:t>
      </w:r>
      <w:r>
        <w:rPr>
          <w:rFonts w:ascii="Times New Roman" w:hAnsi="Times New Roman"/>
          <w:sz w:val="28"/>
        </w:rPr>
        <w:t xml:space="preserve"> продолжено</w:t>
      </w:r>
      <w:r>
        <w:rPr>
          <w:rFonts w:ascii="Times New Roman" w:hAnsi="Times New Roman"/>
          <w:sz w:val="28"/>
        </w:rPr>
        <w:t xml:space="preserve"> активное межведомственное взаимодействие с </w:t>
      </w:r>
      <w:r>
        <w:rPr>
          <w:rFonts w:ascii="Times New Roman" w:hAnsi="Times New Roman"/>
          <w:sz w:val="28"/>
          <w:highlight w:val="white"/>
        </w:rPr>
        <w:t>УМВД России по Камчатскому краю в части направления материалов для организации работы по п</w:t>
      </w:r>
      <w:r>
        <w:rPr>
          <w:rFonts w:ascii="Times New Roman" w:hAnsi="Times New Roman"/>
          <w:sz w:val="28"/>
          <w:highlight w:val="white"/>
        </w:rPr>
        <w:t>ресечению нарушений действующего законодательства в сфере оборота алкогольной продукции.</w:t>
      </w:r>
    </w:p>
    <w:p w14:paraId="51000000">
      <w:pPr>
        <w:pStyle w:val="Style_4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Анализ выявленных Министерством нарушений установленных обязательных требований подконтрольными лицами, а также информации, полученной в ходе консультаций и профилактических ви</w:t>
      </w:r>
      <w:r>
        <w:rPr>
          <w:sz w:val="28"/>
        </w:rPr>
        <w:t>зитов, позволяет сделать вывод, что основными причинами нарушения законодательства в сфере регулирования оборота алкогольной и спиртосодержащей продукции на территории Камчатского края являются:</w:t>
      </w:r>
    </w:p>
    <w:p w14:paraId="52000000">
      <w:pPr>
        <w:pStyle w:val="Style_4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—</w:t>
      </w:r>
      <w:r>
        <w:rPr>
          <w:sz w:val="28"/>
        </w:rPr>
        <w:t xml:space="preserve"> </w:t>
      </w:r>
      <w:r>
        <w:rPr>
          <w:sz w:val="28"/>
        </w:rPr>
        <w:t>правовая неосведомленность</w:t>
      </w:r>
      <w:r>
        <w:rPr>
          <w:sz w:val="28"/>
        </w:rPr>
        <w:t xml:space="preserve"> подконтрольных субъектов;</w:t>
      </w:r>
    </w:p>
    <w:p w14:paraId="53000000">
      <w:pPr>
        <w:pStyle w:val="Style_4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— низкий у</w:t>
      </w:r>
      <w:r>
        <w:rPr>
          <w:sz w:val="28"/>
        </w:rPr>
        <w:t>ровень правосознания под</w:t>
      </w:r>
      <w:r>
        <w:rPr>
          <w:sz w:val="28"/>
        </w:rPr>
        <w:t>контрольных субъектов, а также их пренебрежительное отношение к исполнению своих публично-правовых обязанностей;</w:t>
      </w:r>
    </w:p>
    <w:p w14:paraId="54000000">
      <w:pPr>
        <w:pStyle w:val="Style_4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— недостаточный контроль со стороны руководителей подконтрольных субъектов за исполнением должностных обязанностей рабо</w:t>
      </w:r>
      <w:r>
        <w:rPr>
          <w:sz w:val="28"/>
        </w:rPr>
        <w:t>тниками.</w:t>
      </w:r>
    </w:p>
    <w:p w14:paraId="55000000">
      <w:pPr>
        <w:pStyle w:val="Style_4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В этой связи основная направленность профилактической работы по- прежнему связана с повышением уровня правовой грамотности и фор</w:t>
      </w:r>
      <w:r>
        <w:rPr>
          <w:sz w:val="28"/>
        </w:rPr>
        <w:t>мированием идентичного понимания обязательных требований у всех участников оборота алкогольной продукции.</w:t>
      </w:r>
    </w:p>
    <w:p w14:paraId="56000000">
      <w:pPr>
        <w:pStyle w:val="Style_4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профилактики и предупреждения совершения нарушений законодательства в сфере розничной продажи алкогольной продукции Министерством в 2022 году </w:t>
      </w:r>
      <w:r>
        <w:rPr>
          <w:sz w:val="28"/>
        </w:rPr>
        <w:t>утверждена Программа профилактики рисков причинения вреда (ущерба) охраняемым законом ценностям на 2023 год. В отчетном периоде указанная программа была разработана на 2024 год.</w:t>
      </w:r>
    </w:p>
    <w:p w14:paraId="57000000"/>
    <w:sectPr>
      <w:headerReference r:id="rId1" w:type="default"/>
      <w:pgSz w:h="16838" w:orient="portrait" w:w="11906"/>
      <w:pgMar w:bottom="1134" w:footer="567" w:gutter="0" w:header="567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Indent"/>
    <w:basedOn w:val="Style_5"/>
    <w:link w:val="Style_7_ch"/>
    <w:pPr>
      <w:spacing w:after="120"/>
      <w:ind w:firstLine="0" w:left="283"/>
    </w:pPr>
  </w:style>
  <w:style w:styleId="Style_7_ch" w:type="character">
    <w:name w:val="Body Text Indent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oter"/>
    <w:basedOn w:val="Style_5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5_ch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Default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Default"/>
    <w:link w:val="Style_4"/>
    <w:rPr>
      <w:rFonts w:ascii="Times New Roman" w:hAnsi="Times New Roman"/>
      <w:sz w:val="24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13" w:type="paragraph">
    <w:name w:val="toc 3"/>
    <w:next w:val="Style_5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Обычный1"/>
    <w:link w:val="Style_14_ch"/>
    <w:rPr>
      <w:rFonts w:ascii="Calibri" w:hAnsi="Calibri"/>
    </w:rPr>
  </w:style>
  <w:style w:styleId="Style_14_ch" w:type="character">
    <w:name w:val="Обычный1"/>
    <w:link w:val="Style_14"/>
    <w:rPr>
      <w:rFonts w:ascii="Calibri" w:hAnsi="Calibri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5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5_ch"/>
    <w:link w:val="Style_23"/>
    <w:rPr>
      <w:rFonts w:ascii="Segoe UI" w:hAnsi="Segoe UI"/>
      <w:sz w:val="18"/>
    </w:rPr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List Paragraph"/>
    <w:basedOn w:val="Style_5"/>
    <w:link w:val="Style_2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8"/>
    </w:rPr>
  </w:style>
  <w:style w:styleId="Style_25_ch" w:type="character">
    <w:name w:val="List Paragraph"/>
    <w:basedOn w:val="Style_5_ch"/>
    <w:link w:val="Style_25"/>
    <w:rPr>
      <w:rFonts w:ascii="Times New Roman" w:hAnsi="Times New Roman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End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Endnote"/>
    <w:link w:val="Style_27"/>
    <w:rPr>
      <w:rFonts w:ascii="XO Thames" w:hAnsi="XO Thames"/>
      <w:sz w:val="22"/>
    </w:rPr>
  </w:style>
  <w:style w:styleId="Style_28" w:type="paragraph">
    <w:name w:val="toc 5"/>
    <w:next w:val="Style_5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Гиперссылка1"/>
    <w:basedOn w:val="Style_17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17_ch"/>
    <w:link w:val="Style_29"/>
    <w:rPr>
      <w:color w:themeColor="hyperlink" w:val="0563C1"/>
      <w:u w:val="single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1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2024-02-09T01:03:22Z</dcterms:modified>
</cp:coreProperties>
</file>