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1"/>
        <w:ind w:left="6379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 к Порядку проведения процедуры оценки регулирующего воздействия проектов нормативных правовых Камчатского края</w:t>
      </w:r>
    </w:p>
    <w:p>
      <w:pPr>
        <w:pStyle w:val="ConsPlusNormal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Сводный 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процедуры оценки регулирующего воздействия проекта нормативного правового акта Камчатского края*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Style w:val="Style_3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284"/>
        <w:gridCol w:w="817"/>
        <w:gridCol w:w="769"/>
        <w:gridCol w:w="4834"/>
      </w:tblGrid>
      <w:tr>
        <w:trPr>
          <w:trHeight w:val="158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aps w:val="false"/>
                <w:smallCaps w:val="false"/>
                <w:spacing w:val="0"/>
                <w:sz w:val="28"/>
              </w:rPr>
            </w:pPr>
            <w:r>
              <w:rPr>
                <w:rFonts w:ascii="Times New Roman" w:hAnsi="Times New Roman"/>
                <w:b/>
                <w:caps w:val="false"/>
                <w:smallCaps w:val="false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aps w:val="false"/>
                <w:smallCaps w:val="false"/>
                <w:spacing w:val="0"/>
                <w:sz w:val="28"/>
              </w:rPr>
            </w:pPr>
            <w:r>
              <w:rPr>
                <w:rFonts w:ascii="Times New Roman" w:hAnsi="Times New Roman"/>
                <w:b/>
                <w:caps w:val="false"/>
                <w:smallCaps w:val="false"/>
                <w:color w:val="000000"/>
                <w:spacing w:val="0"/>
                <w:kern w:val="0"/>
                <w:sz w:val="28"/>
                <w:szCs w:val="20"/>
              </w:rPr>
              <w:t>01/03/07-23/00007705</w:t>
            </w:r>
          </w:p>
        </w:tc>
        <w:tc>
          <w:tcPr>
            <w:tcW w:w="6420" w:type="dxa"/>
            <w:gridSpan w:val="3"/>
            <w:tcBorders>
              <w:lef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Сроки проведения публичных консультаций по проекту нормативного правового акта Камчатского края:</w:t>
            </w:r>
          </w:p>
        </w:tc>
      </w:tr>
      <w:tr>
        <w:trPr>
          <w:trHeight w:val="158" w:hRule="atLeast"/>
        </w:trPr>
        <w:tc>
          <w:tcPr>
            <w:tcW w:w="3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aps w:val="false"/>
                <w:smallCaps w:val="fals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kern w:val="0"/>
                <w:sz w:val="24"/>
                <w:szCs w:val="20"/>
              </w:rPr>
              <w:t>(присваивается системой автоматически)</w:t>
            </w:r>
          </w:p>
        </w:tc>
        <w:tc>
          <w:tcPr>
            <w:tcW w:w="15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начало:</w:t>
            </w:r>
          </w:p>
        </w:tc>
        <w:tc>
          <w:tcPr>
            <w:tcW w:w="4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17.07.2023</w:t>
            </w:r>
          </w:p>
        </w:tc>
      </w:tr>
      <w:tr>
        <w:trPr>
          <w:trHeight w:val="157" w:hRule="atLeast"/>
        </w:trPr>
        <w:tc>
          <w:tcPr>
            <w:tcW w:w="9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5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окончание: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28.07.2023</w:t>
            </w:r>
          </w:p>
        </w:tc>
      </w:tr>
      <w:tr>
        <w:trPr/>
        <w:tc>
          <w:tcPr>
            <w:tcW w:w="933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1.</w:t>
            </w:r>
          </w:p>
        </w:tc>
        <w:tc>
          <w:tcPr>
            <w:tcW w:w="8704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Общая информация:</w:t>
            </w:r>
          </w:p>
        </w:tc>
      </w:tr>
      <w:tr>
        <w:trPr>
          <w:trHeight w:val="1508" w:hRule="atLeast"/>
        </w:trPr>
        <w:tc>
          <w:tcPr>
            <w:tcW w:w="933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1.1.</w:t>
            </w:r>
          </w:p>
        </w:tc>
        <w:tc>
          <w:tcPr>
            <w:tcW w:w="8704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Исполнительный орган Камчатского края (далее – регулирующий орган): Министерство труда и развития кадрового потенциала Камчатского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i/>
                <w:i/>
                <w:sz w:val="28"/>
              </w:rPr>
            </w:pP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(указываются полное и краткое наименования)</w:t>
            </w:r>
          </w:p>
        </w:tc>
      </w:tr>
      <w:tr>
        <w:trPr/>
        <w:tc>
          <w:tcPr>
            <w:tcW w:w="933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1.2.</w:t>
            </w:r>
          </w:p>
        </w:tc>
        <w:tc>
          <w:tcPr>
            <w:tcW w:w="8704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Сведения об иных исполнительных органах Камчатского края – соисполнителях: отсутствуют</w:t>
            </w:r>
          </w:p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(указываются полное и краткое наименования)</w:t>
            </w:r>
          </w:p>
        </w:tc>
      </w:tr>
      <w:tr>
        <w:trPr/>
        <w:tc>
          <w:tcPr>
            <w:tcW w:w="933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1.3.</w:t>
            </w:r>
          </w:p>
        </w:tc>
        <w:tc>
          <w:tcPr>
            <w:tcW w:w="8704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Вид и наименование проекта нормативного правового акта Камчатского края: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shd w:fill="auto" w:val="clear"/>
              </w:rPr>
              <w:t>проект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shd w:fill="auto" w:val="clear"/>
              </w:rPr>
              <w:t xml:space="preserve"> Закон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shd w:fill="auto" w:val="clear"/>
              </w:rPr>
              <w:t>а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Камчатского края «О внесении изменения в Закон Камчатского края «О квотировании в Камчатском крае рабочих мест для отдельных категорий граждан, испытывающих трудности в поиске работы» (далее – проект Закона)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 xml:space="preserve"> </w:t>
            </w: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(место для текстового описания)</w:t>
            </w:r>
          </w:p>
        </w:tc>
      </w:tr>
      <w:tr>
        <w:trPr/>
        <w:tc>
          <w:tcPr>
            <w:tcW w:w="933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1.4.</w:t>
            </w:r>
          </w:p>
        </w:tc>
        <w:tc>
          <w:tcPr>
            <w:tcW w:w="8704" w:type="dxa"/>
            <w:gridSpan w:val="4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Степень регулирующего воздействия: средняя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                                           </w:t>
            </w: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(высокая/средняя/низкая)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Обоснование отнесения проекта нормативного правового акта Камчатского края к определенной степени регулирующего воздействия: проект нормативного правового акта Камчатского края содержит положения, изменяющие ранее предусмотренные нормативными правовыми актами Камчатского края обязательные требования, обязанности, запреты для субъектов предпринимательской и иной экономической деятельности, а также изменяющие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иной экономической </w:t>
            </w: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shd w:fill="auto" w:val="clear"/>
                <w:lang w:val="ru-RU" w:eastAsia="zh-CN" w:bidi="hi-IN"/>
              </w:rPr>
              <w:t>деятельности;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shd w:fill="auto" w:val="clear"/>
                <w:lang w:val="ru-RU" w:eastAsia="zh-CN" w:bidi="hi-IN"/>
              </w:rPr>
              <w:t>Проект закона содержит положения, изменяющие  обязанности, для субъектов предпринимательской и иной экономической деятельности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 xml:space="preserve">     </w:t>
            </w: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(место для текстового описания)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933" w:type="dxa"/>
            <w:vMerge w:val="restart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1.5.</w:t>
            </w:r>
          </w:p>
        </w:tc>
        <w:tc>
          <w:tcPr>
            <w:tcW w:w="8704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Контактная информация исполнителя регулирующего органа:</w:t>
            </w:r>
          </w:p>
        </w:tc>
      </w:tr>
      <w:tr>
        <w:trPr/>
        <w:tc>
          <w:tcPr>
            <w:tcW w:w="9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101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Ф.И.О.:</w:t>
            </w:r>
          </w:p>
        </w:tc>
        <w:tc>
          <w:tcPr>
            <w:tcW w:w="560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Корнейчук Татьяна Геннадьевна</w:t>
            </w:r>
          </w:p>
        </w:tc>
      </w:tr>
      <w:tr>
        <w:trPr/>
        <w:tc>
          <w:tcPr>
            <w:tcW w:w="9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101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Должность:</w:t>
            </w:r>
          </w:p>
        </w:tc>
        <w:tc>
          <w:tcPr>
            <w:tcW w:w="560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Начальник отдела организационно-правового обеспечения и контроля Министерства</w:t>
            </w:r>
          </w:p>
        </w:tc>
      </w:tr>
      <w:tr>
        <w:trPr>
          <w:trHeight w:val="249" w:hRule="atLeast"/>
        </w:trPr>
        <w:tc>
          <w:tcPr>
            <w:tcW w:w="9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10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Телефон:</w:t>
            </w:r>
          </w:p>
        </w:tc>
        <w:tc>
          <w:tcPr>
            <w:tcW w:w="560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8-415-2-42-50-15</w:t>
            </w:r>
          </w:p>
        </w:tc>
      </w:tr>
      <w:tr>
        <w:trPr>
          <w:trHeight w:val="249" w:hRule="atLeast"/>
        </w:trPr>
        <w:tc>
          <w:tcPr>
            <w:tcW w:w="9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10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Адрес электронной почты:</w:t>
            </w:r>
          </w:p>
        </w:tc>
        <w:tc>
          <w:tcPr>
            <w:tcW w:w="560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korneichuktg@kamgov.ru</w:t>
            </w:r>
          </w:p>
        </w:tc>
      </w:tr>
      <w:tr>
        <w:trPr>
          <w:trHeight w:val="260" w:hRule="atLeast"/>
        </w:trPr>
        <w:tc>
          <w:tcPr>
            <w:tcW w:w="933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2.</w:t>
            </w:r>
          </w:p>
        </w:tc>
        <w:tc>
          <w:tcPr>
            <w:tcW w:w="8704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Описание проблемы, на решение которой направлен предлагаемый способ регулирования: уровень трудоустройства инвалидов ниже среднероссийских значений </w:t>
            </w:r>
          </w:p>
        </w:tc>
      </w:tr>
      <w:tr>
        <w:trPr/>
        <w:tc>
          <w:tcPr>
            <w:tcW w:w="933" w:type="dxa"/>
            <w:vMerge w:val="restart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2.1.</w:t>
            </w:r>
          </w:p>
        </w:tc>
        <w:tc>
          <w:tcPr>
            <w:tcW w:w="8704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Формулировка проблемы: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регулирование рынка труда Камчатского края, обеспечение трудоустройства категории граждан, имеющих трудности в поиске работы  </w:t>
            </w:r>
          </w:p>
        </w:tc>
      </w:tr>
      <w:tr>
        <w:trPr/>
        <w:tc>
          <w:tcPr>
            <w:tcW w:w="9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8704" w:type="dxa"/>
            <w:gridSpan w:val="4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(место для текстового описания)</w:t>
            </w:r>
          </w:p>
        </w:tc>
      </w:tr>
      <w:tr>
        <w:trPr/>
        <w:tc>
          <w:tcPr>
            <w:tcW w:w="933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2.2.</w:t>
            </w:r>
          </w:p>
        </w:tc>
        <w:tc>
          <w:tcPr>
            <w:tcW w:w="8704" w:type="dxa"/>
            <w:gridSpan w:val="4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На сегодняшний день Законом Камчатского края от 11.06.2009 № 284 «О квотировании в Камчатском крае рабочих мест для отдельных категорий граждан, испытывающих трудности в поиске работы» для работодателей, численность работников которых свыше 100 человек, устанавливается квота для трудоустройства инвалидов в размере 2 процентов от среднесписочной численности работников.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Также в целях стимулирования трудоустройства инвалидов в регионе предоставляются субсидии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места, порядок предоставления которых утвержден постановлением Правительства Камчатского края от 13.07.2016 № 268-П.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____________________________________________________________</w:t>
            </w:r>
          </w:p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 xml:space="preserve"> </w:t>
            </w: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(место для текстового описания)</w:t>
            </w:r>
          </w:p>
        </w:tc>
      </w:tr>
      <w:tr>
        <w:trPr/>
        <w:tc>
          <w:tcPr>
            <w:tcW w:w="933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2.3.</w:t>
            </w:r>
          </w:p>
        </w:tc>
        <w:tc>
          <w:tcPr>
            <w:tcW w:w="8704" w:type="dxa"/>
            <w:gridSpan w:val="4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Характеристика негативных эффектов, возникающих в связи с наличием проблемы, их количественная оценка: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Сложность с трудоустройством для категории граждан, имеющих трудности в поиске работы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(место для текстового описания)</w:t>
            </w:r>
          </w:p>
        </w:tc>
      </w:tr>
      <w:tr>
        <w:trPr/>
        <w:tc>
          <w:tcPr>
            <w:tcW w:w="933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2.4.</w:t>
            </w:r>
          </w:p>
        </w:tc>
        <w:tc>
          <w:tcPr>
            <w:tcW w:w="8704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Факторы, поддерживающие существование проблемы: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Необходимость индивидуального подхода со стороны работодателей к трудоустройству инвалидов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(место для текстового описания)</w:t>
            </w:r>
          </w:p>
        </w:tc>
      </w:tr>
      <w:tr>
        <w:trPr/>
        <w:tc>
          <w:tcPr>
            <w:tcW w:w="933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2.5.</w:t>
            </w:r>
          </w:p>
        </w:tc>
        <w:tc>
          <w:tcPr>
            <w:tcW w:w="8704" w:type="dxa"/>
            <w:gridSpan w:val="4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Отсутствуют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(место для текстового описания)</w:t>
            </w:r>
          </w:p>
        </w:tc>
      </w:tr>
      <w:tr>
        <w:trPr/>
        <w:tc>
          <w:tcPr>
            <w:tcW w:w="933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2.6.</w:t>
            </w:r>
          </w:p>
        </w:tc>
        <w:tc>
          <w:tcPr>
            <w:tcW w:w="8704" w:type="dxa"/>
            <w:gridSpan w:val="4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Опыт решения аналогичных проблем в других субъектах Российской Федерации, иностранных государствах: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Максимальная квота установлена в 20 регионах Российской Федерации 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 xml:space="preserve"> </w:t>
            </w: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(место для текстового описания)</w:t>
            </w:r>
          </w:p>
        </w:tc>
      </w:tr>
      <w:tr>
        <w:trPr/>
        <w:tc>
          <w:tcPr>
            <w:tcW w:w="933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2.7.</w:t>
            </w:r>
          </w:p>
        </w:tc>
        <w:tc>
          <w:tcPr>
            <w:tcW w:w="8704" w:type="dxa"/>
            <w:gridSpan w:val="4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Источники данных: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Справочно-правовая система «Консультант», официальные сайты исполнительных органов государственной власти субъектов Российской Федерации. Мониторинг рынка труда Камчатского края.</w:t>
            </w:r>
            <w:r>
              <w:rPr>
                <w:rFonts w:eastAsia="Tahoma" w:cs="Lohit Devanagari"/>
                <w:color w:val="000000"/>
                <w:spacing w:val="0"/>
                <w:kern w:val="0"/>
                <w:szCs w:val="20"/>
                <w:lang w:val="ru-RU" w:eastAsia="zh-CN" w:bidi="hi-IN"/>
              </w:rPr>
              <w:t xml:space="preserve"> </w:t>
            </w: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(место для текстового описания)</w:t>
            </w:r>
          </w:p>
        </w:tc>
      </w:tr>
      <w:tr>
        <w:trPr/>
        <w:tc>
          <w:tcPr>
            <w:tcW w:w="933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2.8.</w:t>
            </w:r>
          </w:p>
        </w:tc>
        <w:tc>
          <w:tcPr>
            <w:tcW w:w="8704" w:type="dxa"/>
            <w:gridSpan w:val="4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Иная информация о проблеме: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Отсутствует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(место для текстового описания)</w:t>
            </w:r>
          </w:p>
        </w:tc>
      </w:tr>
      <w:tr>
        <w:trPr/>
        <w:tc>
          <w:tcPr>
            <w:tcW w:w="933" w:type="dxa"/>
            <w:tcBorders>
              <w:bottom w:val="nil"/>
            </w:tcBorders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3.</w:t>
            </w:r>
          </w:p>
        </w:tc>
        <w:tc>
          <w:tcPr>
            <w:tcW w:w="8704" w:type="dxa"/>
            <w:gridSpan w:val="4"/>
            <w:tcBorders>
              <w:bottom w:val="nil"/>
            </w:tcBorders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i/>
                <w:i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Определение целей предлагаемого правового регулирования и индикаторов для оценки их достижения:</w:t>
            </w:r>
          </w:p>
        </w:tc>
      </w:tr>
    </w:tbl>
    <w:tbl>
      <w:tblPr>
        <w:tblStyle w:val="Style_6"/>
        <w:tblW w:w="977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2268"/>
        <w:gridCol w:w="2269"/>
        <w:gridCol w:w="3537"/>
      </w:tblGrid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3.1.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3.4. Индикаторы достижения целей предлагаемого правового регулирования, целевые значения индикаторов по годам</w:t>
            </w:r>
          </w:p>
        </w:tc>
      </w:tr>
      <w:tr>
        <w:trPr>
          <w:trHeight w:val="593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Повышение количества трудоустроенных инвалидов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Постоянно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Отсутствуют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/>
                <w:lang w:val="ru-RU" w:eastAsia="zh-CN" w:bidi="hi-IN"/>
              </w:rPr>
            </w:r>
          </w:p>
        </w:tc>
      </w:tr>
    </w:tbl>
    <w:tbl>
      <w:tblPr>
        <w:tblStyle w:val="Style_3"/>
        <w:tblW w:w="95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8571"/>
      </w:tblGrid>
      <w:tr>
        <w:trPr/>
        <w:tc>
          <w:tcPr>
            <w:tcW w:w="989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3.5.</w:t>
            </w:r>
          </w:p>
        </w:tc>
        <w:tc>
          <w:tcPr>
            <w:tcW w:w="8571" w:type="dxa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Статьей 13.2 Закона Российской Федерации от 19.04.1991 № 1032-1                «О занятости населения в Российской Федерации» предусмотрено, что работодателям, у которых численность работников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от среднесписочной численности работников.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Протокол заседания Межведомственной рабочей группы по вопросу восстановления рынка труда от 06.07.2023 № 22.</w:t>
            </w:r>
          </w:p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(место для текстового описания)</w:t>
            </w:r>
          </w:p>
        </w:tc>
      </w:tr>
      <w:tr>
        <w:trPr/>
        <w:tc>
          <w:tcPr>
            <w:tcW w:w="989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3.6.</w:t>
            </w:r>
          </w:p>
        </w:tc>
        <w:tc>
          <w:tcPr>
            <w:tcW w:w="8571" w:type="dxa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Методы расчета индикаторов достижения целей предлагаемого правового регулирования, источники информации для расчетов: Отсутствуют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  <w:highlight w:val="none"/>
                <w:shd w:fill="FFFF00" w:val="clear"/>
              </w:rPr>
            </w:pPr>
            <w:r>
              <w:rPr>
                <w:rFonts w:eastAsia="Tahoma" w:cs="Lohit Devanagari"/>
                <w:lang w:val="ru-RU" w:eastAsia="zh-CN" w:bidi="hi-IN"/>
              </w:rPr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(место для текстового описания)</w:t>
            </w:r>
          </w:p>
        </w:tc>
      </w:tr>
      <w:tr>
        <w:trPr/>
        <w:tc>
          <w:tcPr>
            <w:tcW w:w="989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3.7.</w:t>
            </w:r>
          </w:p>
        </w:tc>
        <w:tc>
          <w:tcPr>
            <w:tcW w:w="8571" w:type="dxa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Оценка затрат на проведение мониторинга достижения целей предлагаемого правового регулирования: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Отсутствуют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 </w:t>
            </w: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(место для текстового описания)</w:t>
            </w:r>
          </w:p>
        </w:tc>
      </w:tr>
      <w:tr>
        <w:trPr/>
        <w:tc>
          <w:tcPr>
            <w:tcW w:w="989" w:type="dxa"/>
            <w:tcBorders>
              <w:bottom w:val="nil"/>
            </w:tcBorders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3.8.</w:t>
            </w:r>
          </w:p>
        </w:tc>
        <w:tc>
          <w:tcPr>
            <w:tcW w:w="8571" w:type="dxa"/>
            <w:tcBorders>
              <w:bottom w:val="nil"/>
            </w:tcBorders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Отсутствуют </w:t>
            </w:r>
          </w:p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(место для текстового описания)</w:t>
            </w:r>
          </w:p>
        </w:tc>
      </w:tr>
      <w:tr>
        <w:trPr/>
        <w:tc>
          <w:tcPr>
            <w:tcW w:w="989" w:type="dxa"/>
            <w:tcBorders>
              <w:bottom w:val="nil"/>
            </w:tcBorders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4.</w:t>
            </w:r>
          </w:p>
        </w:tc>
        <w:tc>
          <w:tcPr>
            <w:tcW w:w="8571" w:type="dxa"/>
            <w:tcBorders>
              <w:bottom w:val="nil"/>
            </w:tcBorders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Качественная характеристика и оценка численности потенциальных адресатов предлагаемого правового регулирования (их групп): </w:t>
            </w:r>
          </w:p>
        </w:tc>
      </w:tr>
    </w:tbl>
    <w:tbl>
      <w:tblPr>
        <w:tblStyle w:val="Style_6"/>
        <w:tblW w:w="949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16"/>
        <w:gridCol w:w="2154"/>
        <w:gridCol w:w="2123"/>
      </w:tblGrid>
      <w:tr>
        <w:trPr/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4.2. Количество участников группы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4.3. Источники данных</w:t>
            </w:r>
          </w:p>
        </w:tc>
      </w:tr>
      <w:tr>
        <w:trPr/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(Группа 1) Юридические лица и индивидуальные предприниматели, у которых численность работников превышает 100 человек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Ориентировочно 200 хозяйствующих субъектов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Информация Отделения СФР по Камчатскому краю</w:t>
            </w:r>
          </w:p>
        </w:tc>
      </w:tr>
      <w:tr>
        <w:trPr/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(Группа 2)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5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(Группа 3)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</w:tbl>
    <w:tbl>
      <w:tblPr>
        <w:tblStyle w:val="Style_3"/>
        <w:tblW w:w="95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8577"/>
      </w:tblGrid>
      <w:tr>
        <w:trPr/>
        <w:tc>
          <w:tcPr>
            <w:tcW w:w="983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5.</w:t>
            </w:r>
          </w:p>
        </w:tc>
        <w:tc>
          <w:tcPr>
            <w:tcW w:w="8577" w:type="dxa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Новые (или изменяемые) функции (полномочия, обязанности, права) исполнительного органа Камчатского, а также порядка их реализации в связи с введением предлагаемого правового регулирования или изменение содержания существующих функций (полномочий, обязанностей, прав) исполнительного органа Камчатского края, а также порядка их реализации в связи с введением предлагаемого правового регулирования: </w:t>
            </w:r>
          </w:p>
        </w:tc>
      </w:tr>
    </w:tbl>
    <w:tbl>
      <w:tblPr>
        <w:tblStyle w:val="Style_6"/>
        <w:tblW w:w="977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2"/>
        <w:gridCol w:w="1872"/>
        <w:gridCol w:w="2837"/>
        <w:gridCol w:w="2574"/>
      </w:tblGrid>
      <w:tr>
        <w:trPr/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5.1. Наименование функции (полномочия, обязанности или права)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5.2. Характер функции (новая/изменяемая/отменяемая)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5.3.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5.4. Оценка изменения потребностей в других ресурсах</w:t>
            </w:r>
          </w:p>
        </w:tc>
      </w:tr>
      <w:tr>
        <w:trPr/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Наименование исполнительного органа Камчатского края: Отсутствуют</w:t>
            </w:r>
          </w:p>
        </w:tc>
      </w:tr>
      <w:tr>
        <w:trPr>
          <w:trHeight w:val="1277" w:hRule="atLeast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Функция (полномочие, обязанность или право)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отсутствуют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отсутствуют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отсутствуют</w:t>
            </w:r>
          </w:p>
        </w:tc>
      </w:tr>
      <w:tr>
        <w:trPr/>
        <w:tc>
          <w:tcPr>
            <w:tcW w:w="2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Функция (полномочие, обязанность или право)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</w:tbl>
    <w:tbl>
      <w:tblPr>
        <w:tblStyle w:val="Style_3"/>
        <w:tblW w:w="95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720"/>
      </w:tblGrid>
      <w:tr>
        <w:trPr/>
        <w:tc>
          <w:tcPr>
            <w:tcW w:w="840" w:type="dxa"/>
            <w:tcBorders>
              <w:bottom w:val="nil"/>
            </w:tcBorders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6.</w:t>
            </w:r>
          </w:p>
        </w:tc>
        <w:tc>
          <w:tcPr>
            <w:tcW w:w="8720" w:type="dxa"/>
            <w:tcBorders>
              <w:bottom w:val="nil"/>
            </w:tcBorders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 </w:t>
            </w: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Оценка дополнительных расходов (доходов) бюджета Камчатского края, связанных с введением предлагаемого правового регулирования: </w:t>
            </w:r>
          </w:p>
        </w:tc>
      </w:tr>
    </w:tbl>
    <w:tbl>
      <w:tblPr>
        <w:tblStyle w:val="Style_6"/>
        <w:tblW w:w="9742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96"/>
        <w:gridCol w:w="3645"/>
        <w:gridCol w:w="2801"/>
      </w:tblGrid>
      <w:tr>
        <w:trPr/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6.1. Наименование функции (полномочия, обязанности или права</w:t>
            </w:r>
            <w:r>
              <w:rPr>
                <w:rFonts w:eastAsia="Tahoma" w:cs="Lohit Devanagari" w:ascii="Times New Roman" w:hAnsi="Times New Roman"/>
                <w:color w:val="000000" w:themeColor="text1"/>
                <w:spacing w:val="0"/>
                <w:kern w:val="0"/>
                <w:sz w:val="28"/>
                <w:szCs w:val="20"/>
                <w:lang w:val="ru-RU" w:eastAsia="zh-CN" w:bidi="hi-IN"/>
              </w:rPr>
              <w:t>) (в соответствии с пунктом 5.1</w:t>
            </w: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6.2. Виды расходов (возможных поступлений) бюджета Камчатского края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6.3. Количественная оценка расходов (возможных поступлений) бюджета Камчатского края</w:t>
            </w:r>
          </w:p>
        </w:tc>
      </w:tr>
      <w:tr>
        <w:trPr/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Наименование исполнительного органа Камчатского края: Отсутствуют</w:t>
            </w:r>
          </w:p>
        </w:tc>
      </w:tr>
      <w:tr>
        <w:trPr/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Функция (полномочие, обязанность или право)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Единовременные расходы в _____________________ гг.: отсутствуют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отсутствуют</w:t>
            </w:r>
          </w:p>
        </w:tc>
      </w:tr>
      <w:tr>
        <w:trPr/>
        <w:tc>
          <w:tcPr>
            <w:tcW w:w="32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Периодические за период _____________________ гг.: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отсутствуют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отсутствуют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32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Возможные доходы за период _______________ гг.: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отсутствуют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отсутствуют</w:t>
            </w:r>
          </w:p>
        </w:tc>
      </w:tr>
      <w:tr>
        <w:trPr/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Функция (полномочие, обязанность или право)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Единовременные расходы в _______________________гг.: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32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Периодические расходы за период _______________ гг.: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32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Возможные доходы за период _______________ гг.: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Итого единовременные расходы за период _________ гг.: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отсутствуют</w:t>
            </w:r>
          </w:p>
        </w:tc>
      </w:tr>
      <w:tr>
        <w:trPr/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Итого периодические расходы за период __________ гг.: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отсутствуют</w:t>
            </w:r>
          </w:p>
        </w:tc>
      </w:tr>
      <w:tr>
        <w:trPr/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Итого возможные доходы за период ______________ гг.: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отсутствуют</w:t>
            </w:r>
          </w:p>
        </w:tc>
      </w:tr>
    </w:tbl>
    <w:tbl>
      <w:tblPr>
        <w:tblStyle w:val="Style_3"/>
        <w:tblW w:w="95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8571"/>
      </w:tblGrid>
      <w:tr>
        <w:trPr/>
        <w:tc>
          <w:tcPr>
            <w:tcW w:w="989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6.4.</w:t>
            </w:r>
          </w:p>
        </w:tc>
        <w:tc>
          <w:tcPr>
            <w:tcW w:w="8571" w:type="dxa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Другие сведения о дополнительных расходах (доходах) бюджета Камчатского края, возникающих в связи с введением предлагаемого правового регулирования: не повлечет дополнительных расходов (доходов) бюджета Камчатского края</w:t>
            </w:r>
          </w:p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i/>
                <w:i/>
                <w:sz w:val="28"/>
              </w:rPr>
            </w:pP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(место для текстового описания)</w:t>
            </w:r>
          </w:p>
        </w:tc>
      </w:tr>
      <w:tr>
        <w:trPr/>
        <w:tc>
          <w:tcPr>
            <w:tcW w:w="989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6.5.</w:t>
            </w:r>
          </w:p>
        </w:tc>
        <w:tc>
          <w:tcPr>
            <w:tcW w:w="85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Источники данных: Отсутствуют</w:t>
            </w:r>
          </w:p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(место для текстового описания)</w:t>
            </w:r>
          </w:p>
        </w:tc>
      </w:tr>
      <w:tr>
        <w:trPr/>
        <w:tc>
          <w:tcPr>
            <w:tcW w:w="989" w:type="dxa"/>
            <w:tcBorders>
              <w:bottom w:val="nil"/>
            </w:tcBorders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7.</w:t>
            </w:r>
          </w:p>
        </w:tc>
        <w:tc>
          <w:tcPr>
            <w:tcW w:w="8571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Новые или изменяющие ранее предусмотренные нормативными правовыми актами Камчатского края обязательные требования, обязанности и запреты для субъектов предпринимательской и иной экономической деятельности, а также устанавливающие или изменяющие ранее установленную ответственность за нарушение нормативных правовых актов края, затрагивающих вопросы осуществления предпринимательской и иной экономической деятельности, а также порядок организации их исполнения: проектом закона изменяется размер квоты для трудоустройства инвалидов</w:t>
            </w:r>
          </w:p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(место для текстового описания)</w:t>
            </w:r>
          </w:p>
        </w:tc>
      </w:tr>
    </w:tbl>
    <w:tbl>
      <w:tblPr>
        <w:tblStyle w:val="Style_6"/>
        <w:tblW w:w="963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6"/>
        <w:gridCol w:w="4815"/>
        <w:gridCol w:w="2553"/>
      </w:tblGrid>
      <w:tr>
        <w:trPr/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7.1. Группы потенциальных адресатов предлагаемого правового </w:t>
            </w:r>
            <w:r>
              <w:rPr>
                <w:rFonts w:eastAsia="Tahoma" w:cs="Lohit Devanagari" w:ascii="Times New Roman" w:hAnsi="Times New Roman"/>
                <w:color w:val="000000" w:themeColor="text1"/>
                <w:spacing w:val="0"/>
                <w:kern w:val="0"/>
                <w:sz w:val="28"/>
                <w:szCs w:val="20"/>
                <w:lang w:val="ru-RU" w:eastAsia="zh-CN" w:bidi="hi-IN"/>
              </w:rPr>
              <w:t>регулирования (в соответствии с п. 4.1 Сводного отчета)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7.2. Новые или изменяющие ранее предусмотренные нормативными правовыми актами Камчатского края обязательные требования, обязанности и запреты для субъектов предпринимательской и иной экономической деятельности, а также устанавливающие или изменяющие ранее установленную ответственность за нарушение  нормативных правовых  актов Камчатского края, затрагивающих вопросы осуществления предпринимательской и иной экономической деятельности, а также порядок организации их исполнения (с указанием соответствующих положений проекта нормативного правового акта Камчатского края)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7.3. Описание расходов и возможных доходов, связанных с введением предлагаемого правового регулирования, количественная оценка</w:t>
            </w:r>
          </w:p>
        </w:tc>
      </w:tr>
      <w:tr>
        <w:trPr/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Группа 1 Юридические лица и индивидуальные предприниматели, у которых численность работников превышает 100 человек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Устанавливается квота для приема на работу инвалидов в размере 4 процентов от среднесписочной численности работников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Расходы на заработную плату и оборудование рабочего места</w:t>
            </w:r>
          </w:p>
        </w:tc>
      </w:tr>
      <w:tr>
        <w:trPr/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00" w:val="clear"/>
              </w:rPr>
            </w:pPr>
            <w:r>
              <w:rPr>
                <w:sz w:val="22"/>
              </w:rPr>
            </w:r>
          </w:p>
        </w:tc>
      </w:tr>
      <w:tr>
        <w:trPr>
          <w:trHeight w:val="633" w:hRule="atLeast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Группа 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</w:tbl>
    <w:tbl>
      <w:tblPr>
        <w:tblStyle w:val="Style_3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8932"/>
      </w:tblGrid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24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7.4.</w:t>
            </w:r>
          </w:p>
        </w:tc>
        <w:tc>
          <w:tcPr>
            <w:tcW w:w="8932" w:type="dxa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Издержки и выгоды адресатов предлагаемого правового регулирования, не поддающиеся количественной оценке: Отсутствуют 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(место для текстового описания)</w:t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24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7.5.</w:t>
            </w:r>
          </w:p>
        </w:tc>
        <w:tc>
          <w:tcPr>
            <w:tcW w:w="89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24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Источники данных: Отсутствуют</w:t>
            </w:r>
          </w:p>
          <w:p>
            <w:pPr>
              <w:pStyle w:val="Normal"/>
              <w:widowControl w:val="false"/>
              <w:suppressAutoHyphens w:val="true"/>
              <w:spacing w:lineRule="auto" w:line="264" w:before="24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(место для текстового описания)</w:t>
            </w:r>
          </w:p>
        </w:tc>
      </w:tr>
      <w:tr>
        <w:trPr/>
        <w:tc>
          <w:tcPr>
            <w:tcW w:w="843" w:type="dxa"/>
            <w:tcBorders>
              <w:bottom w:val="nil"/>
            </w:tcBorders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8.</w:t>
            </w:r>
          </w:p>
        </w:tc>
        <w:tc>
          <w:tcPr>
            <w:tcW w:w="8932" w:type="dxa"/>
            <w:tcBorders>
              <w:bottom w:val="nil"/>
            </w:tcBorders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Оценка рисков неблагоприятных последствий применения предлагаемого правового регулирования (в том числе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(ущерба):</w:t>
            </w:r>
            <w:r>
              <w:rPr>
                <w:rFonts w:eastAsia="Tahoma" w:cs="Lohit Devanagari" w:ascii="Times New Roman" w:hAnsi="Times New Roman"/>
                <w:strike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 </w:t>
            </w:r>
            <w:r>
              <w:rPr>
                <w:rFonts w:eastAsia="Tahoma" w:cs="Lohit Devanagari" w:ascii="Times New Roman" w:hAnsi="Times New Roman"/>
                <w:strike w:val="false"/>
                <w:dstrike w:val="false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Отсутствуют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/>
                <w:lang w:val="ru-RU" w:eastAsia="zh-CN" w:bidi="hi-IN"/>
              </w:rPr>
            </w:r>
          </w:p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(место для текстового описания)</w:t>
            </w:r>
          </w:p>
        </w:tc>
      </w:tr>
    </w:tbl>
    <w:tbl>
      <w:tblPr>
        <w:tblStyle w:val="Style_6"/>
        <w:tblW w:w="977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2"/>
        <w:gridCol w:w="3009"/>
        <w:gridCol w:w="1244"/>
        <w:gridCol w:w="4110"/>
      </w:tblGrid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8.1. Виды рисков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8.3. Методы контроля рисков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8.4. Степень контроля рисков (полный/частичный/отсутствует)</w:t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Риск 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eastAsia="Tahoma" w:cs="Lohit Devanagari" w:ascii="Times New Roman" w:hAnsi="Times New Roman"/>
                <w:strike w:val="false"/>
                <w:dstrike w:val="false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Отсутствует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Отсутствует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eastAsia="Tahoma" w:cs="Lohit Devanagari"/>
                <w:strike/>
                <w:lang w:val="ru-RU" w:eastAsia="zh-CN" w:bidi="hi-IN"/>
              </w:rPr>
            </w:pPr>
            <w:r>
              <w:rPr>
                <w:rFonts w:eastAsia="Tahoma" w:cs="Lohit Devanagari" w:ascii="Times New Roman" w:hAnsi="Times New Roman"/>
                <w:strike w:val="false"/>
                <w:dstrike w:val="false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Отсутствуе</w:t>
            </w:r>
            <w:r>
              <w:rPr>
                <w:rFonts w:eastAsia="Tahoma" w:cs="Lohit Devanagari" w:ascii="Times New Roman" w:hAnsi="Times New Roman"/>
                <w:strike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т</w:t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Риск 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</w:tbl>
    <w:tbl>
      <w:tblPr>
        <w:tblStyle w:val="Style_3"/>
        <w:tblW w:w="95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8571"/>
      </w:tblGrid>
      <w:tr>
        <w:trPr/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24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8.5.</w:t>
            </w:r>
          </w:p>
        </w:tc>
        <w:tc>
          <w:tcPr>
            <w:tcW w:w="85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Источники данных: Отсутствуют</w:t>
            </w:r>
          </w:p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(место для текстового описания)</w:t>
            </w:r>
          </w:p>
        </w:tc>
      </w:tr>
      <w:tr>
        <w:trPr/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24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9.</w:t>
            </w:r>
          </w:p>
        </w:tc>
        <w:tc>
          <w:tcPr>
            <w:tcW w:w="8571" w:type="dxa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Анализ воздействия предлагаемого регулирования на состояние конкуренции в Камчатском крае в регулируемой сфере деятельности: Не окажет воздействия на состояние конкуренции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89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64" w:before="24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9.1.</w:t>
            </w:r>
          </w:p>
        </w:tc>
        <w:tc>
          <w:tcPr>
            <w:tcW w:w="8571" w:type="dxa"/>
            <w:tcBorders>
              <w:bottom w:val="nil"/>
            </w:tcBorders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Положения, которые могут отрицательно воздействовать на состояние конкуренции: Отсутствуют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tbl>
      <w:tblPr>
        <w:tblStyle w:val="Style_6"/>
        <w:tblW w:w="977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88"/>
        <w:gridCol w:w="4000"/>
        <w:gridCol w:w="1103"/>
        <w:gridCol w:w="3684"/>
      </w:tblGrid>
      <w:tr>
        <w:trPr/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№ </w:t>
            </w: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Положение, которое может отрицательно воздействовать на состояние конкуренции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Наличие положения в проекте нормативного правового акта</w:t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Да/Нет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Описание положения (ссылка на пункт в проекте правового)</w:t>
            </w:r>
          </w:p>
        </w:tc>
      </w:tr>
      <w:tr>
        <w:trPr/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9.1.1. Ограничение количества субъектов предпринимательской деятельности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9.1.1.1.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Предоставляет преимущество по продаже товаров, выполнению работ, оказанию услуг субъекту (группе субъектов) предпринимательской деятельности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Нет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9.1.1.2.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Ограничивает возможность субъектов предпринимательской деятельности продавать товары, выполнять работы, оказывать услуги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Нет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9.1.1.3.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Вводит требование по получению разрешения или согласования в качестве условия для начала или продолжения деятельности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Нет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9.1.1.4.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Создает барьер, ограничивающий возможность субъектов предпринимательской деятельности продавать товары, выполнять работы, оказывать услуги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Нет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9.1.2. Ограничение способности субъектов предпринимательской деятельности осуществлять деятельность конкурентным способом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9.1.2.1.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Ограничивает возможность субъектов предпринимательской деятельности устанавливать цены на товары, работы или услуги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Нет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9.1.2.2.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Ограничивает свободы субъектов предпринимательской деятельности осуществлять рекламу или маркетинг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Нет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</w:tbl>
    <w:tbl>
      <w:tblPr>
        <w:tblStyle w:val="Style_3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8785"/>
      </w:tblGrid>
      <w:tr>
        <w:trPr/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24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9.2.</w:t>
            </w:r>
          </w:p>
        </w:tc>
        <w:tc>
          <w:tcPr>
            <w:tcW w:w="8785" w:type="dxa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Обоснование необходимости введения указанных положений: Целью правового регулирования является повышения уровня трудоустройства инвалидов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(место для текстового описания)</w:t>
            </w:r>
          </w:p>
        </w:tc>
      </w:tr>
      <w:tr>
        <w:trPr>
          <w:trHeight w:val="950" w:hRule="atLeast"/>
        </w:trPr>
        <w:tc>
          <w:tcPr>
            <w:tcW w:w="990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64" w:before="24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10.</w:t>
            </w:r>
          </w:p>
        </w:tc>
        <w:tc>
          <w:tcPr>
            <w:tcW w:w="8785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64" w:before="24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Сравнение возможных вариантов решения проблемы: Отсутствуют</w:t>
            </w:r>
          </w:p>
        </w:tc>
      </w:tr>
    </w:tbl>
    <w:tbl>
      <w:tblPr>
        <w:tblStyle w:val="Style_6"/>
        <w:tblW w:w="977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72"/>
        <w:gridCol w:w="1986"/>
        <w:gridCol w:w="1558"/>
        <w:gridCol w:w="1559"/>
      </w:tblGrid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Вариант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Вариант 3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10.1. Содержание варианта решения проблемы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Принятие проекта Закона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Сохранение «статуса кво»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10.2.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(1–3 года)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00" w:val="clear"/>
              </w:rPr>
            </w:pPr>
            <w:r>
              <w:rPr>
                <w:rFonts w:eastAsia="Tahoma" w:cs="Lohit Devanagari"/>
                <w:lang w:val="ru-RU" w:eastAsia="zh-CN" w:bidi="hi-I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00" w:val="clear"/>
              </w:rPr>
            </w:pPr>
            <w:r>
              <w:rPr>
                <w:rFonts w:eastAsia="Tahoma" w:cs="Lohit Devanagari"/>
                <w:lang w:val="ru-RU"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10.3.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00" w:val="clear"/>
              </w:rPr>
            </w:pPr>
            <w:r>
              <w:rPr>
                <w:rFonts w:eastAsia="Tahoma" w:cs="Lohit Devanagari"/>
                <w:lang w:val="ru-RU" w:eastAsia="zh-CN" w:bidi="hi-I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/>
                <w:lang w:val="ru-RU"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10.4. Оценка расходов (доходов) бюджета Камчатского края, связанных с введением предлагаемого правового регулирования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00" w:val="clear"/>
              </w:rPr>
            </w:pPr>
            <w:r>
              <w:rPr>
                <w:rFonts w:eastAsia="Tahoma" w:cs="Lohit Devanagari"/>
                <w:lang w:val="ru-RU" w:eastAsia="zh-CN" w:bidi="hi-I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00" w:val="clear"/>
              </w:rPr>
            </w:pPr>
            <w:r>
              <w:rPr>
                <w:rFonts w:eastAsia="Tahoma" w:cs="Lohit Devanagari"/>
                <w:lang w:val="ru-RU"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10.5.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00" w:val="clear"/>
              </w:rPr>
            </w:pPr>
            <w:r>
              <w:rPr>
                <w:rFonts w:eastAsia="Tahoma" w:cs="Lohit Devanagari"/>
                <w:lang w:val="ru-RU" w:eastAsia="zh-CN" w:bidi="hi-I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00" w:val="clear"/>
              </w:rPr>
            </w:pPr>
            <w:r>
              <w:rPr>
                <w:rFonts w:eastAsia="Tahoma" w:cs="Lohit Devanagari"/>
                <w:lang w:val="ru-RU"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10.6. Оценка рисков неблагоприятных последствий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00" w:val="clear"/>
              </w:rPr>
            </w:pPr>
            <w:r>
              <w:rPr>
                <w:rFonts w:eastAsia="Tahoma" w:cs="Lohit Devanagari"/>
                <w:lang w:val="ru-RU" w:eastAsia="zh-CN" w:bidi="hi-I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none"/>
                <w:shd w:fill="FFFF00" w:val="clear"/>
              </w:rPr>
            </w:pPr>
            <w:r>
              <w:rPr>
                <w:rFonts w:eastAsia="Tahoma" w:cs="Lohit Devanagari"/>
                <w:lang w:val="ru-RU" w:eastAsia="zh-CN" w:bidi="hi-I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</w:tbl>
    <w:tbl>
      <w:tblPr>
        <w:tblStyle w:val="Style_3"/>
        <w:tblW w:w="95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8573"/>
      </w:tblGrid>
      <w:tr>
        <w:trPr>
          <w:trHeight w:val="848" w:hRule="atLeast"/>
        </w:trPr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24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10.7.</w:t>
            </w:r>
          </w:p>
        </w:tc>
        <w:tc>
          <w:tcPr>
            <w:tcW w:w="8573" w:type="dxa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Обоснование выбора предпочтительного варианта решения выявленной проблемы: 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/>
                <w:lang w:val="ru-RU" w:eastAsia="zh-CN" w:bidi="hi-IN"/>
              </w:rPr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Рекомендации Межведомственной рабочей группы по вопросу восстановления рынка труда от  (протокол заседания от 06.07.2023 № 22)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(место для текстового описания)</w:t>
            </w:r>
          </w:p>
        </w:tc>
      </w:tr>
      <w:tr>
        <w:trPr>
          <w:trHeight w:val="848" w:hRule="atLeast"/>
        </w:trPr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24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10.8.</w:t>
            </w:r>
          </w:p>
        </w:tc>
        <w:tc>
          <w:tcPr>
            <w:tcW w:w="8573" w:type="dxa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Детальное описание предлагаемого варианта решения проблемы: Предлагается установить размер квоты для работодателей в размере 4 процентов в соответствии с рекомендациями Межведомственной рабочей группы по вопросу восстановления рынка труда от  (протокол заседания от 06.07.2023 № 22).</w:t>
            </w:r>
          </w:p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(место для текстового описания)</w:t>
            </w:r>
          </w:p>
        </w:tc>
      </w:tr>
      <w:tr>
        <w:trPr>
          <w:trHeight w:val="848" w:hRule="atLeast"/>
        </w:trPr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24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11.</w:t>
            </w:r>
          </w:p>
        </w:tc>
        <w:tc>
          <w:tcPr>
            <w:tcW w:w="8573" w:type="dxa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Оценка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</w:p>
        </w:tc>
      </w:tr>
      <w:tr>
        <w:trPr>
          <w:trHeight w:val="848" w:hRule="atLeast"/>
        </w:trPr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24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11.1.</w:t>
            </w:r>
          </w:p>
        </w:tc>
        <w:tc>
          <w:tcPr>
            <w:tcW w:w="8573" w:type="dxa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Предполагаемая дата вступления в силу нормативного правового акта Камчатского края: 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i/>
                <w:i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Правоотношения возникают по истечении десяти дней после дня официального опубликования проекта Закона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(</w:t>
            </w: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место для текстового описания)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(если положения вводятся в действие в разное время, указывается статья (пункт) проекта нормативного правового акта Камчатского края и дата введения)</w:t>
            </w:r>
          </w:p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848" w:hRule="atLeast"/>
        </w:trPr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24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11.2.</w:t>
            </w:r>
          </w:p>
        </w:tc>
        <w:tc>
          <w:tcPr>
            <w:tcW w:w="8573" w:type="dxa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Необходимость установления переходного периода и (или) отсрочки введения предлагаемого правового регулирования: есть (нет). 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Нет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>
          <w:trHeight w:val="848" w:hRule="atLeast"/>
        </w:trPr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24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11.3.</w:t>
            </w:r>
          </w:p>
        </w:tc>
        <w:tc>
          <w:tcPr>
            <w:tcW w:w="8573" w:type="dxa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Необходимость распространения предлагаемого правового регулирования на ранее возникшие отношения: есть (нет). 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Нет</w:t>
            </w:r>
          </w:p>
        </w:tc>
      </w:tr>
      <w:tr>
        <w:trPr>
          <w:trHeight w:val="848" w:hRule="atLeast"/>
        </w:trPr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24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11.3.1.</w:t>
            </w:r>
          </w:p>
        </w:tc>
        <w:tc>
          <w:tcPr>
            <w:tcW w:w="8573" w:type="dxa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Период распространения на ранее возникшие отношения: 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Отсутствует</w:t>
            </w:r>
          </w:p>
        </w:tc>
      </w:tr>
      <w:tr>
        <w:trPr>
          <w:trHeight w:val="848" w:hRule="atLeast"/>
        </w:trPr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24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11.4.</w:t>
            </w:r>
          </w:p>
        </w:tc>
        <w:tc>
          <w:tcPr>
            <w:tcW w:w="8573" w:type="dxa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 xml:space="preserve">Обоснование необходимости установления переходного периода и (или) отсрочки вступления в силу нормативного правового акта Камчатского края либо необходимости распространения предлагаемого правового регулирования на ранее возникшие отношения: 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Отсутствует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 xml:space="preserve"> </w:t>
            </w:r>
            <w:r>
              <w:rPr>
                <w:rFonts w:eastAsia="Tahoma" w:cs="Lohit Devanagari"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(место для текстового описания)</w:t>
            </w:r>
          </w:p>
        </w:tc>
      </w:tr>
      <w:tr>
        <w:trPr>
          <w:trHeight w:val="950" w:hRule="atLeast"/>
        </w:trPr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24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12.</w:t>
            </w:r>
          </w:p>
        </w:tc>
        <w:tc>
          <w:tcPr>
            <w:tcW w:w="8573" w:type="dxa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Заполняется по итогам проведения публичных консультаций по проекту нормативного правового акта и сводного отчета.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Информация о сроках проведения публичных консультаций по проекту нормативного правового акта Камчатского края: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10 рабочих дней с 17.07.2023 по 28.07.2023</w:t>
            </w:r>
          </w:p>
        </w:tc>
      </w:tr>
      <w:tr>
        <w:trPr>
          <w:trHeight w:val="950" w:hRule="atLeast"/>
        </w:trPr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24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12.1.</w:t>
            </w:r>
          </w:p>
        </w:tc>
        <w:tc>
          <w:tcPr>
            <w:tcW w:w="8573" w:type="dxa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Срок, в течение которого принимались предложения в связи с проведением публичных консультаций по проекту нормативного правового акта Камчатского края и Сводному отчету: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начало: «17» июля 2023 г.;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окончание: «28» июля 2023 г.</w:t>
            </w:r>
          </w:p>
          <w:p>
            <w:pPr>
              <w:pStyle w:val="Normal"/>
              <w:widowControl w:val="false"/>
              <w:suppressAutoHyphens w:val="true"/>
              <w:spacing w:lineRule="auto" w:line="264" w:before="24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950" w:hRule="atLeast"/>
        </w:trPr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24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12.2.</w:t>
            </w:r>
          </w:p>
        </w:tc>
        <w:tc>
          <w:tcPr>
            <w:tcW w:w="8573" w:type="dxa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Сведения о количестве мнений/замечаний/предложений, полученных в ходе проведения публичных консультаций по проекту нормативного правового акта Камчатского края: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всего мнений/замечаний/предложений: 0;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из них учтено полностью: 0;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учтено частично: 0;</w:t>
            </w:r>
          </w:p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не учтено: 0.</w:t>
            </w:r>
          </w:p>
        </w:tc>
      </w:tr>
      <w:tr>
        <w:trPr>
          <w:trHeight w:val="848" w:hRule="atLeast"/>
        </w:trPr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24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12.3.</w:t>
            </w:r>
          </w:p>
        </w:tc>
        <w:tc>
          <w:tcPr>
            <w:tcW w:w="8573" w:type="dxa"/>
            <w:tcBorders/>
          </w:tcPr>
          <w:p>
            <w:pPr>
              <w:pStyle w:val="ConsPlusNonformat1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Полный электронный адрес размещения Свода предложений: 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4"/>
                <w:szCs w:val="20"/>
              </w:rPr>
              <w:t>(место для текстового описания)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4"/>
        </w:rPr>
        <w:t xml:space="preserve">Для проектов нормативных правовых актов Камчатского края с </w:t>
      </w:r>
      <w:r>
        <w:rPr>
          <w:rFonts w:ascii="Times New Roman" w:hAnsi="Times New Roman"/>
          <w:b/>
          <w:sz w:val="24"/>
        </w:rPr>
        <w:t>высокой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средней</w:t>
      </w:r>
      <w:r>
        <w:rPr>
          <w:rFonts w:ascii="Times New Roman" w:hAnsi="Times New Roman"/>
          <w:sz w:val="24"/>
        </w:rPr>
        <w:t xml:space="preserve"> степенями регулирующего воздействия, а также </w:t>
      </w:r>
      <w:r>
        <w:rPr>
          <w:rFonts w:ascii="Times New Roman" w:hAnsi="Times New Roman"/>
          <w:b/>
          <w:sz w:val="24"/>
        </w:rPr>
        <w:t>для упрощенного порядка</w:t>
      </w:r>
      <w:r>
        <w:rPr>
          <w:rFonts w:ascii="Times New Roman" w:hAnsi="Times New Roman"/>
          <w:sz w:val="24"/>
        </w:rPr>
        <w:t xml:space="preserve"> проведения процедуры оценки регулирующего воздействия.</w:t>
      </w:r>
    </w:p>
    <w:p>
      <w:pPr>
        <w:pStyle w:val="ConsPlusNonformat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nformat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 Свод предложений. Иные приложения (по усмотрению регулирующего органа).</w:t>
      </w:r>
    </w:p>
    <w:p>
      <w:pPr>
        <w:pStyle w:val="Normal"/>
        <w:ind w:left="0" w:right="-116" w:hanging="0"/>
        <w:jc w:val="center"/>
        <w:rPr>
          <w:i/>
          <w:i/>
          <w:color w:val="D9D9D9"/>
        </w:rPr>
      </w:pPr>
      <w:r>
        <w:rPr>
          <w:i/>
          <w:color w:val="D9D9D9"/>
        </w:rPr>
      </w:r>
    </w:p>
    <w:tbl>
      <w:tblPr>
        <w:tblStyle w:val="Style_6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545"/>
        <w:gridCol w:w="2835"/>
      </w:tblGrid>
      <w:tr>
        <w:trPr>
          <w:trHeight w:val="1335" w:hRule="atLeast"/>
        </w:trPr>
        <w:tc>
          <w:tcPr>
            <w:tcW w:w="32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-105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Исполняющий обязанности Министра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[</w:t>
            </w:r>
            <w:r>
              <w:rPr>
                <w:rFonts w:ascii="Times New Roman" w:hAnsi="Times New Roman"/>
                <w:color w:val="D9D9D9"/>
                <w:spacing w:val="0"/>
                <w:kern w:val="0"/>
                <w:sz w:val="28"/>
                <w:szCs w:val="20"/>
              </w:rPr>
              <w:t>горизонтальный штамп подписи 1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]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142" w:right="0" w:hanging="1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И.А. Голованов</w:t>
            </w:r>
          </w:p>
        </w:tc>
      </w:tr>
    </w:tbl>
    <w:p>
      <w:pPr>
        <w:pStyle w:val="ConsPlusNonformat1"/>
        <w:jc w:val="both"/>
        <w:rPr/>
      </w:pPr>
      <w:r>
        <w:rPr/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hanging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6379" w:right="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5" cy="16954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6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201.45pt;margin-top:0.05pt;width:78.9pt;height:13.3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ListParagraph">
    <w:name w:val="List Paragraph"/>
    <w:link w:val="ListParagraph1"/>
    <w:qFormat/>
    <w:rPr/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11">
    <w:name w:val="Обычный1"/>
    <w:link w:val="15"/>
    <w:qFormat/>
    <w:rPr/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12">
    <w:name w:val="Знак сноски1"/>
    <w:basedOn w:val="13"/>
    <w:link w:val="16"/>
    <w:qFormat/>
    <w:rPr>
      <w:vertAlign w:val="superscript"/>
    </w:rPr>
  </w:style>
  <w:style w:type="character" w:styleId="ConsPlusNormal">
    <w:name w:val="ConsPlusNormal"/>
    <w:link w:val="ConsPlusNormal1"/>
    <w:qFormat/>
    <w:rPr>
      <w:rFonts w:ascii="Calibri" w:hAnsi="Calibri"/>
    </w:rPr>
  </w:style>
  <w:style w:type="character" w:styleId="Heading5">
    <w:name w:val="Heading 5"/>
    <w:qFormat/>
    <w:rPr>
      <w:rFonts w:ascii="XO Thames" w:hAnsi="XO Thames"/>
      <w:b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Header">
    <w:name w:val="Header"/>
    <w:qFormat/>
    <w:rPr/>
  </w:style>
  <w:style w:type="character" w:styleId="13">
    <w:name w:val="Основной шрифт абзаца1"/>
    <w:link w:val="17"/>
    <w:qFormat/>
    <w:rPr/>
  </w:style>
  <w:style w:type="character" w:styleId="Style9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sPlusNonformat">
    <w:name w:val="ConsPlusNonformat"/>
    <w:link w:val="ConsPlusNonformat1"/>
    <w:qFormat/>
    <w:rPr>
      <w:rFonts w:ascii="Courier New" w:hAnsi="Courier New"/>
      <w:sz w:val="20"/>
    </w:rPr>
  </w:style>
  <w:style w:type="character" w:styleId="ConsPlusTitle">
    <w:name w:val="ConsPlusTitle"/>
    <w:link w:val="ConsPlusTitle1"/>
    <w:qFormat/>
    <w:rPr>
      <w:rFonts w:ascii="Calibri" w:hAnsi="Calibri"/>
      <w:b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14">
    <w:name w:val="Гиперссылка1"/>
    <w:basedOn w:val="13"/>
    <w:link w:val="19"/>
    <w:qFormat/>
    <w:rPr>
      <w:color w:val="0563C1" w:themeColor="hyperlink"/>
      <w:u w:val="single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spacing w:before="0" w:after="160"/>
      <w:ind w:left="720" w:right="0" w:hanging="0"/>
      <w:contextualSpacing/>
    </w:pPr>
    <w:rPr/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5">
    <w:name w:val="Обычный1"/>
    <w:link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5">
    <w:name w:val="Колонтитул"/>
    <w:qFormat/>
    <w:pPr>
      <w:widowControl/>
      <w:suppressAutoHyphens w:val="true"/>
      <w:bidi w:val="0"/>
      <w:spacing w:lineRule="auto" w:line="240" w:before="0" w:after="16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6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6">
    <w:name w:val="Знак сноски1"/>
    <w:basedOn w:val="17"/>
    <w:link w:val="12"/>
    <w:qFormat/>
    <w:pPr/>
    <w:rPr>
      <w:vertAlign w:val="superscript"/>
    </w:rPr>
  </w:style>
  <w:style w:type="paragraph" w:styleId="ConsPlusNormal1">
    <w:name w:val="ConsPlusNormal"/>
    <w:link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17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7">
    <w:name w:val="Основной шрифт абзаца1"/>
    <w:link w:val="13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8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nformat1">
    <w:name w:val="ConsPlusNonformat"/>
    <w:link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Title1">
    <w:name w:val="ConsPlusTitle"/>
    <w:link w:val="ConsPlusTitle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8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9">
    <w:name w:val="Гиперссылка1"/>
    <w:basedOn w:val="17"/>
    <w:link w:val="14"/>
    <w:qFormat/>
    <w:pPr/>
    <w:rPr>
      <w:color w:val="0563C1" w:themeColor="hyperlink"/>
      <w:u w:val="single"/>
    </w:rPr>
  </w:style>
  <w:style w:type="paragraph" w:styleId="Style19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Style20">
    <w:name w:val="Содержимое врезки"/>
    <w:basedOn w:val="Normal"/>
    <w:qFormat/>
    <w:pPr/>
    <w:rPr/>
  </w:style>
  <w:style w:type="table" w:default="1" w:styleId="Style_6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3">
    <w:name w:val="Table Grid"/>
    <w:basedOn w:val="Style_6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LibreOffice/7.4.4.2$Linux_X86_64 LibreOffice_project/40$Build-2</Application>
  <AppVersion>15.0000</AppVersion>
  <Pages>12</Pages>
  <Words>1945</Words>
  <Characters>15382</Characters>
  <CharactersWithSpaces>17152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2023-08-11T13:22:52Z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