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bookmarkStart w:id="1" w:name="P427"/>
      <w:bookmarkEnd w:id="1"/>
      <w:r>
        <w:rPr>
          <w:rFonts w:ascii="Times New Roman" w:hAnsi="Times New Roman"/>
          <w:b w:val="0"/>
          <w:sz w:val="28"/>
        </w:rPr>
        <w:t>Анкета участника публичных консультаций с примерным перечнем</w:t>
      </w:r>
    </w:p>
    <w:p w14:paraId="04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вопросов, обсуждаемых при размещении текста проекта нормативного</w:t>
      </w:r>
      <w:bookmarkStart w:id="2" w:name="_GoBack"/>
      <w:bookmarkEnd w:id="2"/>
    </w:p>
    <w:p w14:paraId="05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правового акта К</w:t>
      </w:r>
      <w:r>
        <w:rPr>
          <w:rFonts w:ascii="Times New Roman" w:hAnsi="Times New Roman"/>
          <w:b w:val="0"/>
          <w:sz w:val="28"/>
        </w:rPr>
        <w:t xml:space="preserve">амчатского края </w:t>
      </w:r>
    </w:p>
    <w:p w14:paraId="06000000">
      <w:pPr>
        <w:spacing w:after="1"/>
        <w:ind/>
        <w:rPr>
          <w:rFonts w:ascii="Times New Roman" w:hAnsi="Times New Roman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3"/>
        <w:tblLayout w:type="fixed"/>
      </w:tblPr>
      <w:tblGrid>
        <w:gridCol w:w="3510"/>
        <w:gridCol w:w="7104"/>
      </w:tblGrid>
      <w:tr>
        <w:tc>
          <w:tcPr>
            <w:tcW w:type="dxa" w:w="10614"/>
            <w:gridSpan w:val="2"/>
            <w:shd w:themeFill="background1" w:themeFillShade="F2" w:val="clear"/>
            <w:tcMar>
              <w:top w:type="dxa" w:w="28"/>
              <w:bottom w:type="dxa" w:w="28"/>
            </w:tcMar>
          </w:tcPr>
          <w:p w14:paraId="08000000">
            <w:pPr>
              <w:tabs>
                <w:tab w:leader="none" w:pos="3064" w:val="left"/>
                <w:tab w:leader="none" w:pos="4873" w:val="cente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возможности, укажите:</w:t>
            </w:r>
          </w:p>
        </w:tc>
      </w:tr>
      <w:tr>
        <w:tc>
          <w:tcPr>
            <w:tcW w:type="dxa" w:w="3510"/>
            <w:shd w:themeFill="background1" w:themeFillShade="F2" w:val="clear"/>
            <w:tcMar>
              <w:top w:type="dxa" w:w="28"/>
              <w:bottom w:type="dxa" w:w="28"/>
            </w:tcMar>
          </w:tcPr>
          <w:p w14:paraId="0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организации:</w:t>
            </w:r>
          </w:p>
        </w:tc>
        <w:tc>
          <w:tcPr>
            <w:tcW w:type="dxa" w:w="7104"/>
            <w:shd w:fill="auto" w:val="clear"/>
            <w:tcMar>
              <w:top w:type="dxa" w:w="28"/>
              <w:bottom w:type="dxa" w:w="28"/>
            </w:tcMar>
            <w:vAlign w:val="center"/>
          </w:tcPr>
          <w:p w14:paraId="0A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510"/>
            <w:shd w:themeFill="background1" w:themeFillShade="F2" w:val="clear"/>
            <w:tcMar>
              <w:top w:type="dxa" w:w="28"/>
              <w:bottom w:type="dxa" w:w="28"/>
            </w:tcMar>
          </w:tcPr>
          <w:p w14:paraId="0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Сферу деятельности организации:</w:t>
            </w:r>
          </w:p>
        </w:tc>
        <w:tc>
          <w:tcPr>
            <w:tcW w:type="dxa" w:w="7104"/>
            <w:shd w:fill="auto" w:val="clear"/>
            <w:tcMar>
              <w:top w:type="dxa" w:w="28"/>
              <w:bottom w:type="dxa" w:w="28"/>
            </w:tcMar>
            <w:vAlign w:val="center"/>
          </w:tcPr>
          <w:p w14:paraId="0C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510"/>
            <w:shd w:themeFill="background1" w:themeFillShade="F2" w:val="clear"/>
            <w:tcMar>
              <w:top w:type="dxa" w:w="28"/>
              <w:bottom w:type="dxa" w:w="28"/>
            </w:tcMar>
          </w:tcPr>
          <w:p w14:paraId="0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 контактного лица:</w:t>
            </w:r>
          </w:p>
        </w:tc>
        <w:tc>
          <w:tcPr>
            <w:tcW w:type="dxa" w:w="7104"/>
            <w:shd w:fill="auto" w:val="clear"/>
            <w:tcMar>
              <w:top w:type="dxa" w:w="28"/>
              <w:bottom w:type="dxa" w:w="28"/>
            </w:tcMar>
            <w:vAlign w:val="center"/>
          </w:tcPr>
          <w:p w14:paraId="0E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510"/>
            <w:shd w:themeFill="background1" w:themeFillShade="F2" w:val="clear"/>
            <w:tcMar>
              <w:top w:type="dxa" w:w="28"/>
              <w:bottom w:type="dxa" w:w="28"/>
            </w:tcMar>
          </w:tcPr>
          <w:p w14:paraId="0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 телефона:</w:t>
            </w:r>
          </w:p>
        </w:tc>
        <w:tc>
          <w:tcPr>
            <w:tcW w:type="dxa" w:w="7104"/>
            <w:shd w:fill="auto" w:val="clear"/>
            <w:tcMar>
              <w:top w:type="dxa" w:w="28"/>
              <w:bottom w:type="dxa" w:w="28"/>
            </w:tcMar>
            <w:vAlign w:val="center"/>
          </w:tcPr>
          <w:p w14:paraId="10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510"/>
            <w:shd w:themeFill="background1" w:themeFillShade="F2" w:val="clear"/>
            <w:tcMar>
              <w:top w:type="dxa" w:w="28"/>
              <w:bottom w:type="dxa" w:w="28"/>
            </w:tcMar>
          </w:tcPr>
          <w:p w14:paraId="1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электронной почты:</w:t>
            </w:r>
          </w:p>
        </w:tc>
        <w:tc>
          <w:tcPr>
            <w:tcW w:type="dxa" w:w="7104"/>
            <w:shd w:fill="auto" w:val="clear"/>
            <w:tcMar>
              <w:top w:type="dxa" w:w="28"/>
              <w:bottom w:type="dxa" w:w="28"/>
            </w:tcMar>
            <w:vAlign w:val="center"/>
          </w:tcPr>
          <w:p w14:paraId="12000000">
            <w:pPr>
              <w:rPr>
                <w:rFonts w:ascii="Times New Roman" w:hAnsi="Times New Roman"/>
                <w:sz w:val="28"/>
              </w:rPr>
            </w:pPr>
          </w:p>
        </w:tc>
      </w:tr>
    </w:tbl>
    <w:p w14:paraId="1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Публичные консультации</w:t>
      </w:r>
    </w:p>
    <w:p w14:paraId="15000000">
      <w:pPr>
        <w:spacing w:after="36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проекту нормативного правового акта</w:t>
      </w:r>
      <w:r>
        <w:rPr>
          <w:rFonts w:ascii="Times New Roman" w:hAnsi="Times New Roman"/>
          <w:sz w:val="28"/>
        </w:rPr>
        <w:t xml:space="preserve"> Камчатского края</w:t>
      </w:r>
      <w:r>
        <w:rPr>
          <w:rFonts w:ascii="Times New Roman" w:hAnsi="Times New Roman"/>
          <w:sz w:val="28"/>
        </w:rPr>
        <w:t xml:space="preserve"> в рамках проведения оценки регулирующего воздействия</w:t>
      </w:r>
    </w:p>
    <w:tbl>
      <w:tblPr>
        <w:tblStyle w:val="Style_3"/>
        <w:tblLayout w:type="fixed"/>
      </w:tblPr>
      <w:tblGrid>
        <w:gridCol w:w="5070"/>
        <w:gridCol w:w="5544"/>
      </w:tblGrid>
      <w:tr>
        <w:tc>
          <w:tcPr>
            <w:tcW w:type="dxa" w:w="5070"/>
            <w:shd w:themeFill="background1" w:themeFillShade="F2" w:val="clear"/>
            <w:tcMar>
              <w:top w:type="dxa" w:w="57"/>
              <w:bottom w:type="dxa" w:w="57"/>
            </w:tcMar>
            <w:vAlign w:val="center"/>
          </w:tcPr>
          <w:p w14:paraId="1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направления информации – не позднее:</w:t>
            </w:r>
          </w:p>
        </w:tc>
        <w:tc>
          <w:tcPr>
            <w:tcW w:type="dxa" w:w="5544"/>
            <w:tcMar>
              <w:top w:type="dxa" w:w="57"/>
              <w:bottom w:type="dxa" w:w="57"/>
            </w:tcMar>
            <w:vAlign w:val="center"/>
          </w:tcPr>
          <w:p w14:paraId="17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24.04.2023</w:t>
            </w:r>
          </w:p>
        </w:tc>
      </w:tr>
      <w:tr>
        <w:tc>
          <w:tcPr>
            <w:tcW w:type="dxa" w:w="5070"/>
            <w:shd w:themeFill="background1" w:themeFillShade="F2" w:val="clear"/>
            <w:tcMar>
              <w:top w:type="dxa" w:w="57"/>
              <w:bottom w:type="dxa" w:w="57"/>
            </w:tcMar>
            <w:vAlign w:val="center"/>
          </w:tcPr>
          <w:p w14:paraId="1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электронной почты для направления информации:</w:t>
            </w:r>
          </w:p>
        </w:tc>
        <w:tc>
          <w:tcPr>
            <w:tcW w:type="dxa" w:w="5544"/>
            <w:tcMar>
              <w:top w:type="dxa" w:w="57"/>
              <w:bottom w:type="dxa" w:w="57"/>
            </w:tcMar>
            <w:vAlign w:val="center"/>
          </w:tcPr>
          <w:p w14:paraId="1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70C0"/>
                <w:sz w:val="28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70C0"/>
                <w:sz w:val="28"/>
                <w:u w:val="single"/>
              </w:rPr>
              <w:instrText>HYPERLINK "mailto:econ@kamgov.ru"</w:instrText>
            </w:r>
            <w:r>
              <w:rPr>
                <w:rFonts w:ascii="Times New Roman" w:hAnsi="Times New Roman"/>
                <w:color w:val="0070C0"/>
                <w:sz w:val="28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70C0"/>
                <w:sz w:val="28"/>
                <w:u w:val="single"/>
              </w:rPr>
              <w:t>econ</w:t>
            </w:r>
            <w:r>
              <w:rPr>
                <w:rFonts w:ascii="Times New Roman" w:hAnsi="Times New Roman"/>
                <w:color w:val="0070C0"/>
                <w:sz w:val="28"/>
                <w:u w:val="single"/>
              </w:rPr>
              <w:t>@</w:t>
            </w:r>
            <w:r>
              <w:rPr>
                <w:rFonts w:ascii="Times New Roman" w:hAnsi="Times New Roman"/>
                <w:color w:val="0070C0"/>
                <w:sz w:val="28"/>
                <w:u w:val="single"/>
              </w:rPr>
              <w:t>kamgov</w:t>
            </w:r>
            <w:r>
              <w:rPr>
                <w:rFonts w:ascii="Times New Roman" w:hAnsi="Times New Roman"/>
                <w:color w:val="0070C0"/>
                <w:sz w:val="28"/>
                <w:u w:val="single"/>
              </w:rPr>
              <w:t>.</w:t>
            </w:r>
            <w:r>
              <w:rPr>
                <w:rFonts w:ascii="Times New Roman" w:hAnsi="Times New Roman"/>
                <w:color w:val="0070C0"/>
                <w:sz w:val="28"/>
                <w:u w:val="single"/>
              </w:rPr>
              <w:t>ru</w:t>
            </w:r>
            <w:r>
              <w:rPr>
                <w:rFonts w:ascii="Times New Roman" w:hAnsi="Times New Roman"/>
                <w:color w:val="0070C0"/>
                <w:sz w:val="28"/>
                <w:u w:val="single"/>
              </w:rPr>
              <w:fldChar w:fldCharType="end"/>
            </w:r>
          </w:p>
        </w:tc>
      </w:tr>
      <w:tr>
        <w:tc>
          <w:tcPr>
            <w:tcW w:type="dxa" w:w="5070"/>
            <w:shd w:themeFill="background1" w:themeFillShade="F2" w:val="clear"/>
            <w:tcMar>
              <w:top w:type="dxa" w:w="57"/>
              <w:bottom w:type="dxa" w:w="57"/>
            </w:tcMar>
            <w:vAlign w:val="center"/>
          </w:tcPr>
          <w:p w14:paraId="1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Контактное лицо </w:t>
            </w:r>
          </w:p>
        </w:tc>
        <w:tc>
          <w:tcPr>
            <w:tcW w:type="dxa" w:w="5544"/>
            <w:tcMar>
              <w:top w:type="dxa" w:w="57"/>
              <w:bottom w:type="dxa" w:w="57"/>
            </w:tcMar>
            <w:vAlign w:val="center"/>
          </w:tcPr>
          <w:p w14:paraId="1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Анищенко Ирина Алексеевна</w:t>
            </w:r>
          </w:p>
        </w:tc>
      </w:tr>
    </w:tbl>
    <w:p w14:paraId="1C000000">
      <w:pPr>
        <w:spacing w:before="360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сведения о проекте нормативного правового акта</w:t>
      </w:r>
      <w:r>
        <w:rPr>
          <w:rFonts w:ascii="Times New Roman" w:hAnsi="Times New Roman"/>
          <w:sz w:val="28"/>
        </w:rPr>
        <w:t xml:space="preserve"> Камчатского края</w:t>
      </w:r>
      <w:r>
        <w:rPr>
          <w:rFonts w:ascii="Times New Roman" w:hAnsi="Times New Roman"/>
          <w:sz w:val="28"/>
        </w:rPr>
        <w:t>:</w:t>
      </w:r>
    </w:p>
    <w:tbl>
      <w:tblPr>
        <w:tblStyle w:val="Style_3"/>
        <w:tblLayout w:type="fixed"/>
      </w:tblPr>
      <w:tblGrid>
        <w:gridCol w:w="2964"/>
        <w:gridCol w:w="7665"/>
      </w:tblGrid>
      <w:tr>
        <w:tc>
          <w:tcPr>
            <w:tcW w:type="dxa" w:w="2964"/>
            <w:shd w:themeFill="background1" w:themeFillShade="F2" w:val="clear"/>
            <w:tcMar>
              <w:top w:type="dxa" w:w="57"/>
              <w:bottom w:type="dxa" w:w="57"/>
            </w:tcMar>
            <w:vAlign w:val="center"/>
          </w:tcPr>
          <w:p w14:paraId="1D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Сфера государственного регулирования:</w:t>
            </w:r>
          </w:p>
        </w:tc>
        <w:tc>
          <w:tcPr>
            <w:tcW w:type="dxa" w:w="7665"/>
            <w:tcMar>
              <w:top w:type="dxa" w:w="57"/>
              <w:bottom w:type="dxa" w:w="57"/>
            </w:tcMar>
            <w:vAlign w:val="center"/>
          </w:tcPr>
          <w:p w14:paraId="1E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Государственное регулирование торговой деятельности</w:t>
            </w:r>
          </w:p>
        </w:tc>
      </w:tr>
      <w:tr>
        <w:tc>
          <w:tcPr>
            <w:tcW w:type="dxa" w:w="2964"/>
            <w:shd w:themeFill="background1" w:themeFillShade="F2" w:val="clear"/>
            <w:tcMar>
              <w:top w:type="dxa" w:w="57"/>
              <w:bottom w:type="dxa" w:w="57"/>
            </w:tcMar>
            <w:vAlign w:val="center"/>
          </w:tcPr>
          <w:p w14:paraId="1F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 и наименование:</w:t>
            </w:r>
          </w:p>
        </w:tc>
        <w:tc>
          <w:tcPr>
            <w:tcW w:type="dxa" w:w="7665"/>
            <w:tcMar>
              <w:top w:type="dxa" w:w="57"/>
              <w:bottom w:type="dxa" w:w="57"/>
            </w:tcMar>
            <w:vAlign w:val="center"/>
          </w:tcPr>
          <w:p w14:paraId="20000000">
            <w:pPr>
              <w:ind/>
              <w:jc w:val="both"/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проект постановления Правительства Камчатского края «О внесении изменения в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 пункт 1 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части 1 постановления Правительства Камчатского края от 28.03.2012 № 167-П 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«Об установлении дополнительных ограничений времени, условий и мест розничной продажи алкогольной продукции,</w:t>
            </w:r>
            <w:r>
              <w:rPr>
                <w:color w:val="000000"/>
                <w:spacing w:val="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за исключением розничной продажи алкогольной продукции при оказании услуг общественного питания, на территории Камчатского края»</w:t>
            </w:r>
          </w:p>
        </w:tc>
      </w:tr>
      <w:tr>
        <w:trPr>
          <w:trHeight w:hRule="atLeast" w:val="262"/>
        </w:trPr>
        <w:tc>
          <w:tcPr>
            <w:tcW w:type="dxa" w:w="2964"/>
            <w:shd w:themeFill="background1" w:themeFillShade="F2" w:val="clear"/>
            <w:tcMar>
              <w:top w:type="dxa" w:w="57"/>
              <w:bottom w:type="dxa" w:w="57"/>
            </w:tcMar>
            <w:vAlign w:val="center"/>
          </w:tcPr>
          <w:p w14:paraId="2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ID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z w:val="28"/>
              </w:rPr>
              <w:t xml:space="preserve"> regulation.kamgov.ru:</w:t>
            </w:r>
          </w:p>
        </w:tc>
        <w:tc>
          <w:tcPr>
            <w:tcW w:type="dxa" w:w="7665"/>
            <w:tcMar>
              <w:top w:type="dxa" w:w="57"/>
              <w:bottom w:type="dxa" w:w="57"/>
            </w:tcMar>
            <w:vAlign w:val="center"/>
          </w:tcPr>
          <w:p w14:paraId="22000000">
            <w:pPr>
              <w:spacing w:after="120" w:before="120"/>
              <w:ind w:hanging="120" w:left="120" w:right="12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</w:rPr>
              <w:fldChar w:fldCharType="begin"/>
            </w:r>
            <w:r>
              <w:rPr>
                <w:rFonts w:ascii="Times New Roman" w:hAnsi="Times New Roman"/>
                <w:sz w:val="28"/>
              </w:rPr>
              <w:instrText>HYPERLINK "https://regulation.kamgov.ru/projects#npa=7687"</w:instrText>
            </w:r>
            <w:r>
              <w:rPr>
                <w:rFonts w:ascii="Times New Roman" w:hAnsi="Times New Roman"/>
                <w:sz w:val="28"/>
              </w:rPr>
              <w:fldChar w:fldCharType="separate"/>
            </w:r>
            <w:r>
              <w:rPr>
                <w:rFonts w:ascii="Times New Roman" w:hAnsi="Times New Roman"/>
                <w:sz w:val="28"/>
              </w:rPr>
              <w:t>https://regulation.kamgov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.ru/projects#npa=7687</w:t>
            </w:r>
            <w:r>
              <w:rPr>
                <w:rFonts w:ascii="Times New Roman" w:hAnsi="Times New Roman"/>
                <w:sz w:val="28"/>
              </w:rPr>
              <w:fldChar w:fldCharType="end"/>
            </w:r>
          </w:p>
        </w:tc>
      </w:tr>
    </w:tbl>
    <w:p w14:paraId="23000000">
      <w:pPr>
        <w:spacing w:after="0"/>
        <w:ind/>
        <w:rPr>
          <w:rFonts w:ascii="Times New Roman" w:hAnsi="Times New Roman"/>
          <w:b w:val="1"/>
          <w:sz w:val="24"/>
        </w:rPr>
      </w:pPr>
    </w:p>
    <w:p w14:paraId="24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Вопросы:</w:t>
      </w:r>
    </w:p>
    <w:p w14:paraId="25000000">
      <w:pPr>
        <w:pStyle w:val="Style_4"/>
        <w:ind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5"/>
        <w:tblLayout w:type="fixed"/>
      </w:tblPr>
      <w:tblGrid>
        <w:gridCol w:w="10635"/>
      </w:tblGrid>
      <w:tr>
        <w:tc>
          <w:tcPr>
            <w:tcW w:type="dxa" w:w="10635"/>
          </w:tcPr>
          <w:p w14:paraId="26000000">
            <w:pPr>
              <w:pStyle w:val="Style_4"/>
              <w:numPr>
                <w:ilvl w:val="0"/>
                <w:numId w:val="1"/>
              </w:numPr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Насколько обоснована необходимость государственного вмешательства? Актуальна ли проблема, на решение которой направлено предлагаемое правовое регулирование</w:t>
            </w:r>
            <w:r>
              <w:rPr>
                <w:rFonts w:ascii="Times New Roman" w:hAnsi="Times New Roman"/>
                <w:sz w:val="28"/>
              </w:rPr>
              <w:t>, в Камчатском крае</w:t>
            </w:r>
            <w:r>
              <w:rPr>
                <w:rFonts w:ascii="Times New Roman" w:hAnsi="Times New Roman"/>
                <w:sz w:val="28"/>
              </w:rPr>
              <w:t>?</w:t>
            </w:r>
          </w:p>
          <w:p w14:paraId="27000000">
            <w:pPr>
              <w:pStyle w:val="Style_4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0635"/>
          </w:tcPr>
          <w:p w14:paraId="28000000">
            <w:pPr>
              <w:pStyle w:val="Style_4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Является ли выбранный вариант решения проблемы оптимальным? Достигнет ли, на Ваш взгляд, правовое регулирование тех целей, на которые оно направлено? Существуют ли иные варианты достижения заявленных целей?</w:t>
            </w:r>
          </w:p>
          <w:p w14:paraId="29000000">
            <w:pPr>
              <w:pStyle w:val="Style_4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0635"/>
          </w:tcPr>
          <w:p w14:paraId="2A000000">
            <w:pPr>
              <w:pStyle w:val="Style_4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trike w:val="0"/>
                <w:sz w:val="28"/>
              </w:rPr>
            </w:pPr>
            <w:r>
              <w:rPr>
                <w:rFonts w:ascii="Times New Roman" w:hAnsi="Times New Roman"/>
                <w:strike w:val="0"/>
                <w:sz w:val="28"/>
              </w:rPr>
              <w:t>Достаточно ли полно и точно отражены обязанности, ответственность адресатов правового регулирования, а также насколько понятно прописаны административные процедуры?</w:t>
            </w:r>
          </w:p>
          <w:p w14:paraId="2B000000">
            <w:pPr>
              <w:pStyle w:val="Style_4"/>
              <w:spacing w:before="220"/>
              <w:ind w:firstLine="5" w:left="34"/>
              <w:jc w:val="both"/>
              <w:rPr>
                <w:rFonts w:ascii="Times New Roman" w:hAnsi="Times New Roman"/>
                <w:strike w:val="0"/>
                <w:sz w:val="28"/>
              </w:rPr>
            </w:pPr>
          </w:p>
        </w:tc>
      </w:tr>
      <w:tr>
        <w:tc>
          <w:tcPr>
            <w:tcW w:type="dxa" w:w="10635"/>
          </w:tcPr>
          <w:p w14:paraId="2C000000">
            <w:pPr>
              <w:pStyle w:val="Style_4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 w14:paraId="2D000000">
            <w:pPr>
              <w:pStyle w:val="Style_4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0635"/>
          </w:tcPr>
          <w:p w14:paraId="2E000000">
            <w:pPr>
              <w:pStyle w:val="Style_4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Приведет ли реализация правового регулирования к избыточным действиям или, наоборот, ограничению действий субъектов предпринимательской и иной экономической деятельности?</w:t>
            </w:r>
          </w:p>
          <w:p w14:paraId="2F000000">
            <w:pPr>
              <w:pStyle w:val="Style_4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0635"/>
          </w:tcPr>
          <w:p w14:paraId="30000000">
            <w:pPr>
              <w:pStyle w:val="Style_4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Приведет ли реализация правового регулирования к возникновению обязанностей и запретов субъектов предпринимательской и иной экономической деятельности, к необоснованному существенному росту отдельных видов затрат или появлению новых необоснованных видов затрат?</w:t>
            </w:r>
          </w:p>
          <w:p w14:paraId="31000000">
            <w:pPr>
              <w:pStyle w:val="Style_4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0635"/>
          </w:tcPr>
          <w:p w14:paraId="32000000">
            <w:pPr>
              <w:pStyle w:val="Style_4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Приводит ли реализация правового регулирования к нарушению принципов конкуренции?</w:t>
            </w:r>
          </w:p>
          <w:p w14:paraId="33000000">
            <w:pPr>
              <w:pStyle w:val="Style_4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0635"/>
          </w:tcPr>
          <w:p w14:paraId="34000000">
            <w:pPr>
              <w:pStyle w:val="Style_4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каким позитивным/негативным последствиям может привести принятие правового регулирования? Приведите конкретные примеры.</w:t>
            </w:r>
          </w:p>
          <w:p w14:paraId="35000000">
            <w:pPr>
              <w:pStyle w:val="Style_4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1524"/>
        </w:trPr>
        <w:tc>
          <w:tcPr>
            <w:tcW w:type="dxa" w:w="10635"/>
          </w:tcPr>
          <w:p w14:paraId="36000000">
            <w:pPr>
              <w:pStyle w:val="Style_4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Оцените издержки (упущенную выгоду) субъектов предпринимательской и иной экономической деятельности, возникающие при введении предлагаемого регулирования.</w:t>
            </w:r>
          </w:p>
          <w:p w14:paraId="37000000">
            <w:pPr>
              <w:pStyle w:val="Style_4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0635"/>
          </w:tcPr>
          <w:p w14:paraId="38000000">
            <w:pPr>
              <w:pStyle w:val="Style_4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Требуется ли переходный период для вступления в силу правового регулирования (если да, какова его продолжительность), какие ограничения по срокам введения правового регулирования необходимо учесть?</w:t>
            </w:r>
          </w:p>
          <w:p w14:paraId="39000000">
            <w:pPr>
              <w:pStyle w:val="Style_4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0635"/>
          </w:tcPr>
          <w:p w14:paraId="3A000000">
            <w:pPr>
              <w:pStyle w:val="Style_4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Иные предложения и замечания, которые, по Вашему мнению, целесообразно учесть в рамках </w:t>
            </w:r>
            <w:r>
              <w:rPr>
                <w:rFonts w:ascii="Times New Roman" w:hAnsi="Times New Roman"/>
                <w:sz w:val="28"/>
              </w:rPr>
              <w:t xml:space="preserve">процедуры </w:t>
            </w:r>
            <w:r>
              <w:rPr>
                <w:rFonts w:ascii="Times New Roman" w:hAnsi="Times New Roman"/>
                <w:sz w:val="28"/>
              </w:rPr>
              <w:t>оценки регулирующего воздействия.</w:t>
            </w:r>
          </w:p>
          <w:p w14:paraId="3B000000">
            <w:pPr>
              <w:pStyle w:val="Style_4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3C000000">
      <w:pPr>
        <w:pStyle w:val="Style_4"/>
        <w:ind/>
        <w:jc w:val="both"/>
      </w:pPr>
    </w:p>
    <w:p w14:paraId="3D000000">
      <w:pPr>
        <w:pStyle w:val="Style_4"/>
        <w:ind w:firstLine="0" w:left="10065"/>
        <w:jc w:val="both"/>
        <w:outlineLvl w:val="1"/>
      </w:pPr>
    </w:p>
    <w:p w14:paraId="3E000000">
      <w:pPr>
        <w:pStyle w:val="Style_4"/>
        <w:ind w:firstLine="0" w:left="10065"/>
        <w:jc w:val="both"/>
        <w:outlineLvl w:val="1"/>
      </w:pPr>
    </w:p>
    <w:p w14:paraId="3F000000">
      <w:pPr>
        <w:pStyle w:val="Style_4"/>
        <w:ind w:firstLine="0" w:left="10065"/>
        <w:jc w:val="both"/>
        <w:outlineLvl w:val="1"/>
      </w:pPr>
    </w:p>
    <w:sectPr>
      <w:headerReference r:id="rId1" w:type="default"/>
      <w:pgSz w:h="16838" w:orient="portrait" w:w="11906"/>
      <w:pgMar w:bottom="1134" w:footer="709" w:gutter="0" w:header="709" w:left="709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4" w:type="paragraph">
    <w:name w:val="ConsPlusNormal"/>
    <w:link w:val="Style_4_ch"/>
    <w:pPr>
      <w:widowControl w:val="0"/>
      <w:spacing w:after="0" w:line="240" w:lineRule="auto"/>
      <w:ind/>
    </w:pPr>
    <w:rPr>
      <w:rFonts w:ascii="Calibri" w:hAnsi="Calibri"/>
    </w:rPr>
  </w:style>
  <w:style w:styleId="Style_4_ch" w:type="character">
    <w:name w:val="ConsPlusNormal"/>
    <w:link w:val="Style_4"/>
    <w:rPr>
      <w:rFonts w:ascii="Calibri" w:hAnsi="Calibri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ConsPlusNonformat"/>
    <w:link w:val="Style_10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10_ch" w:type="character">
    <w:name w:val="ConsPlusNonformat"/>
    <w:link w:val="Style_10"/>
    <w:rPr>
      <w:rFonts w:ascii="Courier New" w:hAnsi="Courier New"/>
      <w:sz w:val="20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footnote reference"/>
    <w:basedOn w:val="Style_14"/>
    <w:link w:val="Style_13_ch"/>
    <w:rPr>
      <w:vertAlign w:val="superscript"/>
    </w:rPr>
  </w:style>
  <w:style w:styleId="Style_13_ch" w:type="character">
    <w:name w:val="footnote reference"/>
    <w:basedOn w:val="Style_14_ch"/>
    <w:link w:val="Style_13"/>
    <w:rPr>
      <w:vertAlign w:val="superscript"/>
    </w:rPr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2_ch" w:type="character">
    <w:name w:val="ConsPlusTitle"/>
    <w:link w:val="Style_2"/>
    <w:rPr>
      <w:rFonts w:ascii="Calibri" w:hAnsi="Calibri"/>
      <w:b w:val="1"/>
    </w:rPr>
  </w:style>
  <w:style w:styleId="Style_16" w:type="paragraph">
    <w:name w:val="heading 1"/>
    <w:next w:val="Style_5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17" w:type="paragraph">
    <w:name w:val="Hyperlink"/>
    <w:basedOn w:val="Style_14"/>
    <w:link w:val="Style_17_ch"/>
    <w:rPr>
      <w:color w:themeColor="hyperlink" w:val="0563C1"/>
      <w:u w:val="single"/>
    </w:rPr>
  </w:style>
  <w:style w:styleId="Style_17_ch" w:type="character">
    <w:name w:val="Hyperlink"/>
    <w:basedOn w:val="Style_14_ch"/>
    <w:link w:val="Style_17"/>
    <w:rPr>
      <w:color w:themeColor="hyperlink" w:val="0563C1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5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5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5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footer"/>
    <w:basedOn w:val="Style_5"/>
    <w:link w:val="Style_23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3_ch" w:type="character">
    <w:name w:val="footer"/>
    <w:basedOn w:val="Style_5_ch"/>
    <w:link w:val="Style_23"/>
  </w:style>
  <w:style w:styleId="Style_24" w:type="paragraph">
    <w:name w:val="toc 5"/>
    <w:next w:val="Style_5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25" w:type="paragraph">
    <w:name w:val="Subtitle"/>
    <w:next w:val="Style_5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5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5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5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3" w:type="table">
    <w:name w:val="Table Grid"/>
    <w:basedOn w:val="Style_29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2023-04-11T03:44:06Z</dcterms:modified>
</cp:coreProperties>
</file>