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CF" w:rsidRDefault="000A34C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34CF" w:rsidRDefault="000A34CF">
      <w:pPr>
        <w:pStyle w:val="ConsPlusNormal"/>
        <w:jc w:val="center"/>
        <w:outlineLvl w:val="0"/>
      </w:pPr>
    </w:p>
    <w:p w:rsidR="000A34CF" w:rsidRDefault="000A34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34CF" w:rsidRDefault="000A34CF">
      <w:pPr>
        <w:pStyle w:val="ConsPlusTitle"/>
        <w:jc w:val="center"/>
      </w:pPr>
    </w:p>
    <w:p w:rsidR="000A34CF" w:rsidRDefault="000A34CF">
      <w:pPr>
        <w:pStyle w:val="ConsPlusTitle"/>
        <w:jc w:val="center"/>
      </w:pPr>
      <w:r>
        <w:t>ПОСТАНОВЛЕНИЕ</w:t>
      </w:r>
    </w:p>
    <w:p w:rsidR="000A34CF" w:rsidRDefault="000A34CF">
      <w:pPr>
        <w:pStyle w:val="ConsPlusTitle"/>
        <w:jc w:val="center"/>
      </w:pPr>
      <w:r>
        <w:t>от 7 августа 2021 г. N 1313</w:t>
      </w:r>
    </w:p>
    <w:p w:rsidR="000A34CF" w:rsidRDefault="000A34CF">
      <w:pPr>
        <w:pStyle w:val="ConsPlusTitle"/>
        <w:jc w:val="center"/>
      </w:pPr>
    </w:p>
    <w:p w:rsidR="000A34CF" w:rsidRDefault="000A34CF">
      <w:pPr>
        <w:pStyle w:val="ConsPlusTitle"/>
        <w:jc w:val="center"/>
      </w:pPr>
      <w:r>
        <w:t>ОБ УТВЕРЖДЕНИИ ПРАВИЛ</w:t>
      </w:r>
    </w:p>
    <w:p w:rsidR="000A34CF" w:rsidRDefault="000A34CF">
      <w:pPr>
        <w:pStyle w:val="ConsPlusTitle"/>
        <w:jc w:val="center"/>
      </w:pPr>
      <w:r>
        <w:t>ПРЕДОСТАВЛЕНИЯ ГОСУДАРСТВЕННОЙ ПОДДЕРЖКИ ЛИЗИНГОВЫМ</w:t>
      </w:r>
    </w:p>
    <w:p w:rsidR="000A34CF" w:rsidRDefault="000A34CF">
      <w:pPr>
        <w:pStyle w:val="ConsPlusTitle"/>
        <w:jc w:val="center"/>
      </w:pPr>
      <w:r>
        <w:t>ОРГАНИЗАЦИЯМ В ЦЕЛЯХ ВОЗМЕЩЕНИЯ НЕДОПОЛУЧЕННЫХ ДОХОДОВ</w:t>
      </w:r>
    </w:p>
    <w:p w:rsidR="000A34CF" w:rsidRDefault="000A34CF">
      <w:pPr>
        <w:pStyle w:val="ConsPlusTitle"/>
        <w:jc w:val="center"/>
      </w:pPr>
      <w:r>
        <w:t>ПРИ УПЛАТЕ ЛИЗИНГОПОЛУЧАТЕЛЕМ ЛИЗИНГОВЫХ ПЛАТЕЖЕЙ</w:t>
      </w:r>
    </w:p>
    <w:p w:rsidR="000A34CF" w:rsidRDefault="000A34CF">
      <w:pPr>
        <w:pStyle w:val="ConsPlusTitle"/>
        <w:jc w:val="center"/>
      </w:pPr>
      <w:r>
        <w:t>ПО ДОГОВОРАМ ФИНАНСОВОЙ АРЕНДЫ (ЛИЗИНГА)</w:t>
      </w:r>
    </w:p>
    <w:p w:rsidR="000A34CF" w:rsidRDefault="000A34CF">
      <w:pPr>
        <w:pStyle w:val="ConsPlusTitle"/>
        <w:jc w:val="center"/>
      </w:pPr>
      <w:r>
        <w:t>ВЫСОКОТЕХНОЛОГИЧНОГО ОБОРУДОВАНИЯ И ТЕХНИКИ</w:t>
      </w: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(лизинга) высокотехнологичного оборудования и техники.</w:t>
      </w: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jc w:val="right"/>
      </w:pPr>
      <w:r>
        <w:t>Председатель Правительства</w:t>
      </w:r>
    </w:p>
    <w:p w:rsidR="000A34CF" w:rsidRDefault="000A34CF">
      <w:pPr>
        <w:pStyle w:val="ConsPlusNormal"/>
        <w:jc w:val="right"/>
      </w:pPr>
      <w:r>
        <w:t>Российской Федерации</w:t>
      </w:r>
    </w:p>
    <w:p w:rsidR="000A34CF" w:rsidRDefault="000A34CF">
      <w:pPr>
        <w:pStyle w:val="ConsPlusNormal"/>
        <w:jc w:val="right"/>
      </w:pPr>
      <w:r>
        <w:t>М.МИШУСТИН</w:t>
      </w: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jc w:val="right"/>
        <w:outlineLvl w:val="0"/>
      </w:pPr>
      <w:r>
        <w:t>Утверждены</w:t>
      </w:r>
    </w:p>
    <w:p w:rsidR="000A34CF" w:rsidRDefault="000A34CF">
      <w:pPr>
        <w:pStyle w:val="ConsPlusNormal"/>
        <w:jc w:val="right"/>
      </w:pPr>
      <w:r>
        <w:t>постановлением Правительства</w:t>
      </w:r>
    </w:p>
    <w:p w:rsidR="000A34CF" w:rsidRDefault="000A34CF">
      <w:pPr>
        <w:pStyle w:val="ConsPlusNormal"/>
        <w:jc w:val="right"/>
      </w:pPr>
      <w:r>
        <w:t>Российской Федерации</w:t>
      </w:r>
    </w:p>
    <w:p w:rsidR="000A34CF" w:rsidRDefault="000A34CF">
      <w:pPr>
        <w:pStyle w:val="ConsPlusNormal"/>
        <w:jc w:val="right"/>
      </w:pPr>
      <w:r>
        <w:t>от 7 августа 2021 г. N 1313</w:t>
      </w:r>
    </w:p>
    <w:p w:rsidR="000A34CF" w:rsidRDefault="000A34CF">
      <w:pPr>
        <w:pStyle w:val="ConsPlusNormal"/>
        <w:jc w:val="right"/>
      </w:pPr>
    </w:p>
    <w:p w:rsidR="000A34CF" w:rsidRDefault="000A34CF">
      <w:pPr>
        <w:pStyle w:val="ConsPlusTitle"/>
        <w:jc w:val="center"/>
      </w:pPr>
      <w:bookmarkStart w:id="1" w:name="P29"/>
      <w:bookmarkEnd w:id="1"/>
      <w:r>
        <w:t>ПРАВИЛА</w:t>
      </w:r>
    </w:p>
    <w:p w:rsidR="000A34CF" w:rsidRDefault="000A34CF">
      <w:pPr>
        <w:pStyle w:val="ConsPlusTitle"/>
        <w:jc w:val="center"/>
      </w:pPr>
      <w:r>
        <w:t>ПРЕДОСТАВЛЕНИЯ ГОСУДАРСТВЕННОЙ ПОДДЕРЖКИ ЛИЗИНГОВЫМ</w:t>
      </w:r>
    </w:p>
    <w:p w:rsidR="000A34CF" w:rsidRDefault="000A34CF">
      <w:pPr>
        <w:pStyle w:val="ConsPlusTitle"/>
        <w:jc w:val="center"/>
      </w:pPr>
      <w:r>
        <w:t>ОРГАНИЗАЦИЯМ В ЦЕЛЯХ ВОЗМЕЩЕНИЯ НЕДОПОЛУЧЕННЫХ ДОХОДОВ</w:t>
      </w:r>
    </w:p>
    <w:p w:rsidR="000A34CF" w:rsidRDefault="000A34CF">
      <w:pPr>
        <w:pStyle w:val="ConsPlusTitle"/>
        <w:jc w:val="center"/>
      </w:pPr>
      <w:r>
        <w:t>ПРИ УПЛАТЕ ЛИЗИНГОПОЛУЧАТЕЛЕМ ЛИЗИНГОВЫХ ПЛАТЕЖЕЙ</w:t>
      </w:r>
    </w:p>
    <w:p w:rsidR="000A34CF" w:rsidRDefault="000A34CF">
      <w:pPr>
        <w:pStyle w:val="ConsPlusTitle"/>
        <w:jc w:val="center"/>
      </w:pPr>
      <w:r>
        <w:t>ПО ДОГОВОРАМ ФИНАНСОВОЙ АРЕНДЫ (ЛИЗИНГА)</w:t>
      </w:r>
    </w:p>
    <w:p w:rsidR="000A34CF" w:rsidRDefault="000A34CF">
      <w:pPr>
        <w:pStyle w:val="ConsPlusTitle"/>
        <w:jc w:val="center"/>
      </w:pPr>
      <w:r>
        <w:t>ВЫСОКОТЕХНОЛОГИЧНОГО ОБОРУДОВАНИЯ И ТЕХНИКИ</w:t>
      </w:r>
    </w:p>
    <w:p w:rsidR="000A34CF" w:rsidRDefault="000A34CF">
      <w:pPr>
        <w:pStyle w:val="ConsPlusNormal"/>
        <w:jc w:val="center"/>
      </w:pPr>
    </w:p>
    <w:p w:rsidR="000A34CF" w:rsidRDefault="000A34CF">
      <w:pPr>
        <w:pStyle w:val="ConsPlusNormal"/>
        <w:ind w:firstLine="540"/>
        <w:jc w:val="both"/>
      </w:pPr>
      <w:bookmarkStart w:id="2" w:name="P36"/>
      <w:bookmarkEnd w:id="2"/>
      <w:r>
        <w:t xml:space="preserve">1. Настоящие Правила устанавливают цели, условия и порядок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(лизинга) высокотехнологичного оборудования и техники в рамках подпрограммы "Развитие отраслей агропромышленного комплекса"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Под государственной поддержкой в настоящих Правилах подразумевается предоставление субсидий из федерального бюджета лизинговым организациям в целях возмещения недополученных доходов при уплате лизингополучателем лизинговых </w:t>
      </w:r>
      <w:r>
        <w:lastRenderedPageBreak/>
        <w:t xml:space="preserve">платежей по договорам финансовой аренды (лизинга) высокотехнологичного оборудования и техники в рамках подпрограммы "Развитие отраслей агропромышленного комплекса"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(далее - субсидия).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"высокотехнологичное оборудование и техника" - оборудование и техника, с помощью которых осуществляются производство и (или) переработка и реализация продукции агропромышленного комплекса, включенные в </w:t>
      </w:r>
      <w:hyperlink r:id="rId7" w:history="1">
        <w:r>
          <w:rPr>
            <w:color w:val="0000FF"/>
          </w:rPr>
          <w:t>перечень</w:t>
        </w:r>
      </w:hyperlink>
      <w:r>
        <w:t>, утверждаемый Министерством сельского хозяйства Российской Федерации по согласованию с Министерством промышленности и торговли Российской Федерации;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"заключение о подтверждении производства" - заключение о подтверждении производства промышленной продукции на территории Российской Федерации, выданное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"лизинговая организация" - юридическое лицо независимо от его организационно-правовой формы, зарегистрированное на территории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предпринимателей", осуществляющее свою деятельность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финансовой аренде (лизинге)" и отобранное в соответствии с </w:t>
      </w:r>
      <w:hyperlink w:anchor="P5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10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3" w:name="P42"/>
      <w:bookmarkEnd w:id="3"/>
      <w:r>
        <w:t xml:space="preserve">"лизингополучатель" - юридическое лицо или индивидуальный предприниматель, являющиеся сельскохозяйственными товаропроизводителями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 либо осуществляющие производство и (или) переработку и реализацию продукции агропромышленного комплекса и (или) перевалку и хранение продукции агропромышленного комплекса, соответствующие требованиям, предусмотренным </w:t>
      </w:r>
      <w:hyperlink w:anchor="P138" w:history="1">
        <w:r>
          <w:rPr>
            <w:color w:val="0000FF"/>
          </w:rPr>
          <w:t>пунктом 22</w:t>
        </w:r>
      </w:hyperlink>
      <w:r>
        <w:t xml:space="preserve"> настоящих Правил, включенные в реестр лизингополучателей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"потенциальный лизингополучатель" - юридическое лицо или индивидуальный предприниматель, являющиеся сельскохозяйственными товаропроизводителями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 либо осуществляющие производство и (или) переработку и реализацию продукции агропромышленного комплекса и (или) перевалку и хранение продукции агропромышленного комплекса, соответствующие требованиям, предусмотренным </w:t>
      </w:r>
      <w:hyperlink w:anchor="P138" w:history="1">
        <w:r>
          <w:rPr>
            <w:color w:val="0000FF"/>
          </w:rPr>
          <w:t>пунктом 22</w:t>
        </w:r>
      </w:hyperlink>
      <w:r>
        <w:t xml:space="preserve"> настоящих Правил, с которыми лизинговая организация планирует заключить договор финансовой аренды (лизинга);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"продукция агропромышленного комплекса" - продукция, включенная в </w:t>
      </w:r>
      <w:hyperlink r:id="rId13" w:history="1">
        <w:r>
          <w:rPr>
            <w:color w:val="0000FF"/>
          </w:rPr>
          <w:t>перечень</w:t>
        </w:r>
      </w:hyperlink>
      <w:r>
        <w:t>, утверждаемый Министерством сельского хозяйства Российской Федерации;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"реестр лизингополучателей" - перечень лизингополучателей, формируемый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"реестр потенциальных лизингополучателей" - формируемый лизинговой организацией перечень потенциальных лизингополучателей, представивших в лизинговую организацию заявку на заключение договора финансовой аренды (лизинга), а также иные документы в соответствии с требованиями лизинговой организации, с которыми </w:t>
      </w:r>
      <w:r>
        <w:lastRenderedPageBreak/>
        <w:t>лизинговая организация планирует заключить договоры финансовой аренды (лизинга);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"стоимость предмета лизинга" - стоимость единицы высокотехнологичного оборудования и техники, необходимых для производства продукции агропромышленного комплекса (на условиях франко-завод) (без учета налога на добавленную стоимость, а также без учета стоимости его ввода в эксплуатацию, передачи лизингополучателю, в том числе расходов на транспортировку, страхование, монтаж и </w:t>
      </w:r>
      <w:proofErr w:type="spellStart"/>
      <w:r>
        <w:t>пусконаладку</w:t>
      </w:r>
      <w:proofErr w:type="spellEnd"/>
      <w:r>
        <w:t xml:space="preserve"> и иных расходов), указанная в договоре финансовой аренды (лизинга). Стоимость предмета лизинга (часть стоимости) в иностранной валюте определяется в российских рублях по курсу рубля по отношению к соответствующей иностранной валюте, установленному Центральным банком Российской Федерации на дату заключения договора финансовой аренды (лизинга);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"транспортно-логистический узел" - инфраструктура по оптимизации перегрузочных процессов, посредством которой осуществляется транспортировка от пунктов отправления, расположенных на территории Российской Федерации, до конечных пунктов назначения продукции агропромышленного комплекса, произведенной с использованием высокотехнологичного оборудования и техники.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3. Субсидия предоставляется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4" w:name="P51"/>
      <w:bookmarkEnd w:id="4"/>
      <w:r>
        <w:t>4. Отбор лизинговых организаций осуществляется Министерством сельского хозяйства Российской Федерации путем проведения запроса предложений на основании заявок, представленных лизинговыми организациями для участия в отборе (далее соответственно - заявка на участие в отборе, отбор).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Министерство сельского хозяйства Российской Федерации размещает объявление о проведении отбора (далее - объявление) на едином портале, а также на официальном сайте Министерства сельского хозяйства Российской Федерации в информационно-телекоммуникационной сети "Интернет" (далее - официальный сайт) не позднее чем за 10 календарных дней до даты начала приема заявок участников отбора с указанием: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сроков проведения отбора - даты и времени начала (окончания) подачи (приема) заявок на участие в отборе (не меньше 30 календарных дней со дня, следующего за днем публикации объявления, до окончания срока подачи заявок);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места нахождения, почтового адреса и адреса электронной почты Министерства сельского хозяйства Российской Федерации;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результата предоставления субсидии в соответствии с </w:t>
      </w:r>
      <w:hyperlink w:anchor="P171" w:history="1">
        <w:r>
          <w:rPr>
            <w:color w:val="0000FF"/>
          </w:rPr>
          <w:t>пунктом 31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требований, установленных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настоящих Правил, и перечня документов, </w:t>
      </w:r>
      <w:r>
        <w:lastRenderedPageBreak/>
        <w:t>представляемых лизинговыми организациями для подтверждения их соответствия указанным требованиям;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порядка подачи заявок на участие в отборе и требований, предъявляемых к форме и содержанию заявок на участие в отборе;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порядка отзыва заявок на участие в отборе, порядка возврата заявок на участие в отборе, определяющего в том числе основания для возврата заявок на участие в отборе, а также порядка внесения в заявки на участие в отборе изменений;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правил рассмотрения заявок на участие в отборе;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порядка предоставления лизинговым организациям разъяснений положений объявления, даты начала (окончания) такого предоставления;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срока, в течение которого победители отбора должны подписать соглашение о предоставлении субсидии, заключаемое в соответствии с </w:t>
      </w:r>
      <w:hyperlink r:id="rId14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Федерации,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(далее соответственно - система "Электронный бюджет", соглашение);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условий признания победителей отбора уклонившимися от заключения соглашения;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победителей отбора.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5. Отбор осуществляется Министерством сельского хозяйства Российской Федерации на основании полученных заявок на участие в отборе исходя из соответствия лизинговых организаций требованиям, указанным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настоящих Правил, и очередности поступления заявок на участие в отборе.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5" w:name="P66"/>
      <w:bookmarkEnd w:id="5"/>
      <w:r>
        <w:t>6. Лизинговая организация должна соответствовать на 1-е число месяца, предшествующего месяцу, в котором проводится отбор, следующим требованиям: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а) у лизинговой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б) у лизинговой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в) лизинговая организация не находится в процессе реорганизации (за исключением реорганизации в форме присоединения к лизинговой организации другого юридического лица), ликвидации, в отношении лизинговой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г) лизинговая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>
        <w:lastRenderedPageBreak/>
        <w:t xml:space="preserve">(территория), включенное в утверждаемый Министерством финансов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лизинговой организации;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е) лизинговая организация не получает в соответствии с иными нормативными правовыми актами Российской Федерации средства из федерального бюджета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ж) балансовая стоимость активов лизинговой организации по состоянию на конец финансового года, предшествующего году, в котором подана заявка на участие в отборе, равна или превышает 5 млрд. рублей, а для лизинговых организаций, в которых доля участия государства в уставном (складочном) капитале составляет не менее 50 процентов, балансовая стоимость активов должна превышать 1 млрд. рублей;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з) лизинговая организация имеет действующий лизинговый портфель по сделкам, заключенным с лизингополучателями, соответствующими требованиям, предусмотренным </w:t>
      </w:r>
      <w:hyperlink w:anchor="P42" w:history="1">
        <w:r>
          <w:rPr>
            <w:color w:val="0000FF"/>
          </w:rPr>
          <w:t>абзацем пятым пункта 2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и)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января 2014 г. N 58 "Об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 органы" лизинговая организация поставлена Федеральной службой по финансовому мониторингу на учет в качестве организации, которая осуществляет операции с денежными средствами или иным имуществом и в сфере деятельности которой отсутствуют надзорные органы.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6" w:name="P76"/>
      <w:bookmarkEnd w:id="6"/>
      <w:r>
        <w:t>7. Для участия в отборе лизинговая организация направляет в Министерство сельского хозяйства Российской Федерации заявку на участие в отборе, включающую следующие документы: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7" w:name="P77"/>
      <w:bookmarkEnd w:id="7"/>
      <w:r>
        <w:t>заявление об участии в отборе, оформленное на бланке лизинговой организации, которое подписывается уполномоченным лицом лизинговой организации, содержащее в том числе согласие на публикацию (размещение) в информационно-телекоммуникационной сети "Интернет", информацию о лизинговой организации, о подаваемой заявке на участие в отборе и иную информацию о лизинговой организации, связанную с отбором;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8" w:name="P78"/>
      <w:bookmarkEnd w:id="8"/>
      <w:r>
        <w:t xml:space="preserve">документ в произвольной форме, который содержит информацию, подтверждающую соответствие лизинговой организации требованиям, установленным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8" w:history="1">
        <w:r>
          <w:rPr>
            <w:color w:val="0000FF"/>
          </w:rPr>
          <w:t>третьем</w:t>
        </w:r>
      </w:hyperlink>
      <w:r>
        <w:t xml:space="preserve"> настоящего пункта, прошиваются (каждый отдельно), подписываются или заверяются (за исключением нотариально заверенных копий) уполномоченным лицом (с представлением документов, подтверждающих полномочия указанного лица) лизинговой организации, подпись </w:t>
      </w:r>
      <w:r>
        <w:lastRenderedPageBreak/>
        <w:t>которого скрепляется печатью (при наличии), и представляются в одном экземпляре на бумажном носителе в Министерство сельского хозяйства Российской Федерации.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8. Для рассмотрения заявок на участие в отборе Министерством сельского хозяйства Российской Федерации формируется комиссия по отбору лизинговых организаций (далее - комиссия).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Решение об отборе лизинговых организаций или об отклонении заявки на участие в отборе принимается комиссией в течение 7 рабочих дней с даты окончания приема заявок на участие в отборе, указанной в объявлении.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9" w:name="P82"/>
      <w:bookmarkEnd w:id="9"/>
      <w:r>
        <w:t>9. Основаниями для отклонения заявки на участие в отборе являются: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а) несоответствие лизинговой организации требованиям, установленным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б) непредставление документов, указанных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настоящих Правил, либо их представление не в полном объеме;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в) несоответствие представленных лизинговой организацией документов требованиям к документации, установленным в объявлении;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г) недостоверность представленной лизинговой организацией информации, в том числе информации о месте нахождения и об адресе юридического лица;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д) подача лизинговой организацией заявки на участие в отборе после даты и (или) времени, определенных для подачи заявки на участие в отборе.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0" w:name="P88"/>
      <w:bookmarkEnd w:id="10"/>
      <w:r>
        <w:t xml:space="preserve">10. Комиссия принимает решение об отборе лизинговых организаций в случае соответствия таких организаций требованиям, установленным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настоящих Правил, либо об отклонении заявки на участие в отборе по основаниям, предусмотренным </w:t>
      </w:r>
      <w:hyperlink w:anchor="P82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Информация о результатах отбора размещается Министерством сельского хозяйства Российской Федерации на едином портале и официальном сайте не позднее 14-го календарного дня, следующего за днем принятия комиссией решения об отборе лизинговых организаций или об отклонении заявки на участие в отборе, и содержит: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дату, время и место рассмотрения заявок на участие в отборе;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информацию о лизинговых организациях, заявки на участие в отборе которых рассмотрены;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информацию о лизинговых организациях, заявки на участие в отборе которых отклонены, с указанием причин их отклонения, в том числе положений объявления, которым заявки на участие в отборе не соответствуют;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наименования лизинговых организаций, с которыми заключаются соглашения.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11. В случае принятия решения об отборе лизинговых организаций Министерство сельского хозяйства Российской Федерации в течение 3 рабочих дней после дня принятия указанного решения направляет в адрес лизинговых организаций информацию о принятом решении.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lastRenderedPageBreak/>
        <w:t>В случае принятия решения об отклонении заявки на участие в отборе Министерство сельского хозяйства Российской Федерации в течение 3 рабочих дней после дня принятия соответствующего решения направляет в адрес лизинговой организации письмо с указанием причин отклонения.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1" w:name="P96"/>
      <w:bookmarkEnd w:id="11"/>
      <w:r>
        <w:t>12. В целях заключения соглашения лизинговая организация представляет в Министерство сельского хозяйства Российской Федерации документальное подтверждение ее соответствия на 1-е число месяца, предшествующего месяцу, в котором планируется заключение соглашения, следующим требованиям: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у лизинговой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у лизинговой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лизинговая организация не находится в процессе реорганизации (за исключением реорганизации в форме присоединения к лизинговой организации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лизинговой организации;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лизинговая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17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лизинговая организация не получает в соответствии с иными нормативными правовыми актами Российской Федерации средства из федерального бюджета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13. Лизинговая организация несет ответственность за достоверность сведений, представленных в соответствии с настоящими Правилами.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14. Соглашением предусматриваются: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а) сроки, цели, условия и порядок предоставления субсидии;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б) значения результата предоставления субсидии и показателя, необходимого для достижения результата предоставления субсидии, предусмотренных </w:t>
      </w:r>
      <w:hyperlink w:anchor="P171" w:history="1">
        <w:r>
          <w:rPr>
            <w:color w:val="0000FF"/>
          </w:rPr>
          <w:t>пунктом 31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lastRenderedPageBreak/>
        <w:t>в) ответственность лизинговой организации за нарушение условий предоставления субсидии;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г) порядок и сроки возврата в доход федерального бюджета лизинговой организацией предоставленной субсидии в случае установления по итогам проверок, проведенных Министерством сельского хозяйства Российской Федерации и (или) органом государственного финансового контроля, факта несоблюдения целей, условий и порядка предоставления субсидии;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д) основания и порядок расторжения соглашения;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е) расчетный счет, открытый в учреждении Центрального банка Российской Федерации или кредитной организации, на который перечисляются денежные средства в случае принятия решения о предоставлении субсидии;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ж) положение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з) перечень транспортно-логистических узлов, через которые лизингополучателем осуществляется транспортировка продукции агропромышленного комплекса;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и) согласие лизинговой организации на проведение Министерством сельского хозяйства Российской Федерации и органом государственного финансового контроля обязательных проверок соблюдения лизинговой организацией целей, условий и порядка предоставления субсидии, которые установлены соглашением и настоящими Правилами;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к) формы реестра потенциальных лизингополучателей и реестра лизингополучателей, а также порядок их ведения.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2" w:name="P115"/>
      <w:bookmarkEnd w:id="12"/>
      <w:r>
        <w:t xml:space="preserve">15. Министерство сельского хозяйства Российской Федерации в течение 7 рабочих дней со дня представления лизинговой организацией в Министерство сельского хозяйства Российской Федерации документов в произвольной форме, которые содержат информацию, подтверждающую соответствие лизинговой организации требованиям, установленным </w:t>
      </w:r>
      <w:hyperlink w:anchor="P96" w:history="1">
        <w:r>
          <w:rPr>
            <w:color w:val="0000FF"/>
          </w:rPr>
          <w:t>пунктом 12</w:t>
        </w:r>
      </w:hyperlink>
      <w:r>
        <w:t xml:space="preserve"> настоящих Правил, а также документов, указанных в </w:t>
      </w:r>
      <w:hyperlink w:anchor="P150" w:history="1">
        <w:r>
          <w:rPr>
            <w:color w:val="0000FF"/>
          </w:rPr>
          <w:t>пункте 26</w:t>
        </w:r>
      </w:hyperlink>
      <w:r>
        <w:t xml:space="preserve"> настоящих Правил, рассматривает их и заключает с лизинговой организацией соглашение или принимает решение об отказе в заключении соглашения.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16. Соглашение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Правил, до полного исполнения обязательств, предусмотренных соглашением.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17. Основаниями для принятия решения об отказе в заключении соглашения являются: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лизинговой организацией документов требованиям, установленным в соответствии с </w:t>
      </w:r>
      <w:hyperlink w:anchor="P115" w:history="1">
        <w:r>
          <w:rPr>
            <w:color w:val="0000FF"/>
          </w:rPr>
          <w:t>пунктом 15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б) установление факта недостоверности представленной лизинговой организацией информации;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lastRenderedPageBreak/>
        <w:t xml:space="preserve">в) отсутствие действующего лизингового портфеля по сделкам, заключенным с лизингополучателями, соответствующими требованиям </w:t>
      </w:r>
      <w:hyperlink w:anchor="P42" w:history="1">
        <w:r>
          <w:rPr>
            <w:color w:val="0000FF"/>
          </w:rPr>
          <w:t>абзаца пятого пункта 2</w:t>
        </w:r>
      </w:hyperlink>
      <w:r>
        <w:t xml:space="preserve"> настоящих Правил.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18. В случае принятия решения об отказе в заключении соглашения Министерство сельского хозяйства Российской Федерации в течение 3 рабочих дней со дня принятия такого решения уведомляет об этом лизинговую организацию. Уведомление осуществляется в письменной форме способом, обеспечивающим возможность подтверждения факта уведомления.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Повторное представление лизинговой организацией документов, которые содержат информацию, подтверждающую соответствие лизинговой организации требованиям, указанным в </w:t>
      </w:r>
      <w:hyperlink w:anchor="P115" w:history="1">
        <w:r>
          <w:rPr>
            <w:color w:val="0000FF"/>
          </w:rPr>
          <w:t>пункте 15</w:t>
        </w:r>
      </w:hyperlink>
      <w:r>
        <w:t xml:space="preserve"> настоящих Правил, возможно при условии устранения замечаний не позднее 10 рабочих дней со дня их получения.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3" w:name="P123"/>
      <w:bookmarkEnd w:id="13"/>
      <w:r>
        <w:t>19. Лизинговая организация не реже одного раза в месяц направляет в Министерство сельского хозяйства Российской Федерации реестр потенциальных лизингополучателей, содержащий в том числе условия предоставления услуг финансовой аренды (лизинга) и размер субсидии, подлежащий возмещению в текущем году.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Министерство сельского хозяйства Российской Федерации в течение 6 рабочих дней со дня, следующего за днем поступления реестра потенциальных лизингополучателей, проверяет </w:t>
      </w:r>
      <w:proofErr w:type="spellStart"/>
      <w:r>
        <w:t>непревышение</w:t>
      </w:r>
      <w:proofErr w:type="spellEnd"/>
      <w:r>
        <w:t xml:space="preserve"> планируемого размера субсидии над лимитами бюджетных обязательств, доведенных до Министерства как получателя средств федерального бюджета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Правил, и в случае </w:t>
      </w:r>
      <w:proofErr w:type="spellStart"/>
      <w:r>
        <w:t>непревышения</w:t>
      </w:r>
      <w:proofErr w:type="spellEnd"/>
      <w:r>
        <w:t xml:space="preserve"> лимитов бюджетных обязательств осуществляет согласование заключения договора финансовой аренды (лизинга) на условиях, предусмотренных настоящими Правилами, посредством направления лизинговой организации соответствующего уведомления, оформленного на бланке Министерства и подписанного уполномоченным должностным лицом Министерства.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Заключение договора финансовой аренды (лизинга) осуществляется лизинговой организацией исключительно в отношении потенциальных лизингополучателей, согласованных Министерством сельского хозяйства Российской Федерации в соответствии с настоящим пунктом.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Согласование Министерством сельского хозяйства Российской Федерации заключения договора финансовой аренды (лизинга) с потенциальным лизингополучателем действительно в течение 30 календарных дней со дня уведомления лизинговой организации о согласовании.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После заключения договора финансовой аренды (лизинга) лизинговая организация уведомляет об этом </w:t>
      </w:r>
      <w:proofErr w:type="gramStart"/>
      <w:r>
        <w:t>Министерство сельского хозяйства Российской Федерации</w:t>
      </w:r>
      <w:proofErr w:type="gramEnd"/>
      <w:r>
        <w:t xml:space="preserve"> и лизингополучатель включается Министерством в реестр лизингополучателей.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Ведение реестра лизингополучателей и внесение в него изменений осуществляются Министерством сельского хозяйства Российской Федерации.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20. Лизинговой организации, которой было отказано в предоставлении субсидии в части договора финансовой аренды (лизинга), заключаемого с потенциальным лизингополучателем, являющимся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 сельскохозяйственным товаропроизводителем, в связи с превышением планируемого размера субсидии над лимитами бюджетных обязательств, </w:t>
      </w:r>
      <w:r>
        <w:lastRenderedPageBreak/>
        <w:t xml:space="preserve">доведенных до Министерства сельского хозяйства Российской Федерации как получателя средств федерального бюджета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Правил, предоставляется приоритет в отношении соответствующего потенциального лизингополучателя при следующем обращении в Министерство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4" w:name="P130"/>
      <w:bookmarkEnd w:id="14"/>
      <w:r>
        <w:t>21. Субсидии предоставляются лизинговой организации при соответствии договоров финансовой аренды (лизинга), заключенных с лизингополучателем, следующим условиям: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а) предметом лизинга является приобретение высокотехнологичного оборудования и техники, в отношении которых лизингополучатель не получает (не получал) в соответствии с иными нормативными правовыми актами Российской Федерации средств из федерального бюджета;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б) договор финансовой аренды (лизинга) предусматривает обязательство лизингополучателя достичь показателя, необходимого для достижения результата предоставления субсидии, рассчитанного в соответствии с </w:t>
      </w:r>
      <w:hyperlink w:anchor="P172" w:history="1">
        <w:r>
          <w:rPr>
            <w:color w:val="0000FF"/>
          </w:rPr>
          <w:t>абзацем вторым пункта 31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в) предметом лизинга являются новые, произведенные не ранее чем за 3 года до года заключения договора финансовой аренды (лизинга), не находившиеся в эксплуатации высокотехнологичное оборудование и техника, которые до приобретения в целях передачи лизингополучателю в собственность не были в собственности иного лица и не находились на регистрационном учете в соответствии с законодательством Российской Федерации (за исключением случаев, когда такой учет осуществлен во исполнение договора финансовой аренды (лизинга);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г) договор финансовой аренды (лизинга) заключен не менее чем на 36 месяцев;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5" w:name="P135"/>
      <w:bookmarkEnd w:id="15"/>
      <w:r>
        <w:t>д) предоставление лизинговой организацией единовременной скидки лизингополучателю при уплате авансового платежа в размере до 45 процентов стоимости предмета лизинга в случае, если на оборудование представлено заключение о подтверждении производства, и до 25 процентов стоимости предмета лизинга в случае, если на оборудование не представлено заключение о подтверждении производства;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е) договором финансовой аренды (лизинга) запрещена передача предмета лизинга в </w:t>
      </w:r>
      <w:proofErr w:type="spellStart"/>
      <w:r>
        <w:t>сублизинг</w:t>
      </w:r>
      <w:proofErr w:type="spellEnd"/>
      <w:r>
        <w:t>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ж) размер авансового платежа должен быть не менее размера единовременной скидки, предусмотренной </w:t>
      </w:r>
      <w:hyperlink w:anchor="P135" w:history="1">
        <w:r>
          <w:rPr>
            <w:color w:val="0000FF"/>
          </w:rPr>
          <w:t>подпунктом "д"</w:t>
        </w:r>
      </w:hyperlink>
      <w:r>
        <w:t xml:space="preserve"> настоящего пункта.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6" w:name="P138"/>
      <w:bookmarkEnd w:id="16"/>
      <w:r>
        <w:t>22. Лизингополучатель на 1-е число месяца, предшествующего месяцу заключения договора финансовой аренды (лизинга), должен удовлетворять следующим требованиям: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а) лизингополучатель не находится в процессе реорганизации (за исключением реорганизации в форме присоединения к лизингополучателю другого юридического лица) либо ликвидации;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б) лизингополучатель зарегистрирован на территории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в) в отношении лизингополучателя не введена процедура банкротства, деятельность лизингополучателя не приостановлена в порядке, предусмотренном законодательством </w:t>
      </w:r>
      <w:r>
        <w:lastRenderedPageBreak/>
        <w:t>Российской Федерации;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г) лизингополучатель не имеет просроченной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50 тыс. рублей;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д) лизингополучатель является юридическим лицом или индивидуальным предпринимателем, соответствующими требованиям, предусмотренным </w:t>
      </w:r>
      <w:hyperlink w:anchor="P42" w:history="1">
        <w:r>
          <w:rPr>
            <w:color w:val="0000FF"/>
          </w:rPr>
          <w:t>абзацем пятым пункта 2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е) лизингополучатель не имеет неисполненных обязательств по заключенным с лизинговой организацией договорам финансовой аренды (лизинга), просроченных более чем на 30 дней.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23. Лизинговая организация рассматривает возможность заключения договора финансовой аренды (лизинга) в соответствии с правилами, принятыми в лизинговой организации.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24. Потенциальный лизингополучатель представляет в лизинговую организацию заявку на заключение договора финансовой аренды (лизинга), а также иные документы в соответствии с требованиями лизинговой организации.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Проверка соответствия потенциального лизингополучателя требованиям, установленным настоящими Правилами, проводится лизинговой организацией в соответствии с правилами, принятыми в лизинговой организации.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25. Субсидия предоставляется в размере фактически недополученного дохода, возникшего вследствие предоставления лизинговой организацией лизингополучателю при уплате авансового платежа единовременной скидки в размере до 45 процентов стоимости предмета лизинга в случае, если на высокотехнологичное оборудование и технику представлено заключение о подтверждении производства, и до 25 процентов стоимости предмета лизинга в случае, если на высокотехнологичное оборудование и технику не представлено заключение о подтверждении производства.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Размер субсидии, предоставляемой лизинговой организации в отношении договора финансовой аренды (лизинга), не может превышать размер скидки, фактически предоставленной лизингополучателю, а также 70 процентов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7" w:name="P150"/>
      <w:bookmarkEnd w:id="17"/>
      <w:r>
        <w:t>26. В целях получения субсидии лизинговая организация представляет в Министерство сельского хозяйства Российской Федерации один раз в месяц, не позднее 7-го рабочего дня очередного месяца (в декабре - не позднее 10-го рабочего дня), следующие документы: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а) заявка на предоставление субсидии по форме, приведенной в соглашении, подписанная руководителем лизинговой организации или уполномоченным лицом (с представлением документов, подтверждающих полномочия указанного лица);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б) расчет размера субсидии по форме согласно </w:t>
      </w:r>
      <w:hyperlink w:anchor="P197" w:history="1">
        <w:r>
          <w:rPr>
            <w:color w:val="0000FF"/>
          </w:rPr>
          <w:t>приложению</w:t>
        </w:r>
      </w:hyperlink>
      <w:r>
        <w:t>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в) справка, подписанная руководителем лизинговой организации или </w:t>
      </w:r>
      <w:r>
        <w:lastRenderedPageBreak/>
        <w:t xml:space="preserve">уполномоченным лицом (с представлением документов, подтверждающих полномочия указанного лица), подтверждающая, что договор финансовой аренды (лизинга) соответствует условиям, предусмотренным </w:t>
      </w:r>
      <w:hyperlink w:anchor="P130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г) документ в произвольной форме, подписанный руководителем лизинговой организации или уполномоченным лицом (с представлением документов, подтверждающих полномочия указанного лица), который содержит информацию, подтверждающую соответствие лизингополучателя требованиям, указанным в </w:t>
      </w:r>
      <w:hyperlink w:anchor="P138" w:history="1">
        <w:r>
          <w:rPr>
            <w:color w:val="0000FF"/>
          </w:rPr>
          <w:t>пункте 22</w:t>
        </w:r>
      </w:hyperlink>
      <w:r>
        <w:t xml:space="preserve"> настоящих Правил, по состоянию на 1-е число месяца, предшествующего месяцу, в котором подается заявка на предоставление субсидии;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д) заверенные руководителем лизинговой организации или уполномоченным лицом (с представлением документов, подтверждающих полномочия указанного лица):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копии договоров купли-продажи (поставки);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копии договоров финансовой аренды (лизинга), соответствующих </w:t>
      </w:r>
      <w:hyperlink w:anchor="P130" w:history="1">
        <w:r>
          <w:rPr>
            <w:color w:val="0000FF"/>
          </w:rPr>
          <w:t>пункту 21</w:t>
        </w:r>
      </w:hyperlink>
      <w:r>
        <w:t xml:space="preserve"> настоящих Правил;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копии платежных поручений на оплату лизингополучателями авансовых платежей по договорам финансовой аренды (лизинга) с единовременной скидкой, предоставленной лизинговой организацией;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копии актов приема-передачи высокотехнологичного оборудования и техники между лизинговой организацией и лизингополучателем (при наличии);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копии иных документов, подтверждающих достоверность сведений, включаемых в расчет размера субсидии.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27. Министерство сельского хозяйства Российской Федерации: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а) в течение 3 рабочих дней со дня поступления документов, указанных в </w:t>
      </w:r>
      <w:hyperlink w:anchor="P150" w:history="1">
        <w:r>
          <w:rPr>
            <w:color w:val="0000FF"/>
          </w:rPr>
          <w:t>пункте 26</w:t>
        </w:r>
      </w:hyperlink>
      <w:r>
        <w:t xml:space="preserve"> настоящих Правил, регистрирует их в порядке очередности поступления;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б) проверяет в течение 7 рабочих дней со дня поступления документов, указанных в </w:t>
      </w:r>
      <w:hyperlink w:anchor="P150" w:history="1">
        <w:r>
          <w:rPr>
            <w:color w:val="0000FF"/>
          </w:rPr>
          <w:t>пункте 26</w:t>
        </w:r>
      </w:hyperlink>
      <w:r>
        <w:t xml:space="preserve"> настоящих Правил, полноту и достоверность содержащихся в них сведений и принимает решение о предоставлении субсидии либо об отказе в предоставлении субсидии.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28. Основаниями для отказа в предоставлении субсидии являются: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лизинговой организацией документов положениям </w:t>
      </w:r>
      <w:hyperlink w:anchor="P150" w:history="1">
        <w:r>
          <w:rPr>
            <w:color w:val="0000FF"/>
          </w:rPr>
          <w:t>пункта 26</w:t>
        </w:r>
      </w:hyperlink>
      <w:r>
        <w:t xml:space="preserve"> настоящих Правил или непредставление (представление не в полном объеме) указанных документов;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б) установление факта недостоверности представленной лизинговой организацией информации.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29. В случае принятия решения об отказе в предоставлении субсидии Министерство сельского хозяйства Российской Федерации в срок, не превышающий 3 рабочих дней со дня принятия решения об отказе в предоставлении субсидии, направляет лизинговой организации соответствующее уведомление с указанием причин отказа и возвращает представленные документы.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Повторное представление лизинговой организацией документов, предусмотренных </w:t>
      </w:r>
      <w:hyperlink w:anchor="P150" w:history="1">
        <w:r>
          <w:rPr>
            <w:color w:val="0000FF"/>
          </w:rPr>
          <w:t>пунктом 26</w:t>
        </w:r>
      </w:hyperlink>
      <w:r>
        <w:t xml:space="preserve"> настоящих Правил, возможно при условии устранения замечаний не позднее 5 рабочих дней со дня получения отказа в предоставлении субсидии.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30. Перечисление субсидии осуществляется не позднее 10-го рабочего дня после принятия Министерством сельского хозяйства Российской Федерации решения о предоставлении субсидии по результатам рассмотрения документов, указанных в </w:t>
      </w:r>
      <w:hyperlink w:anchor="P150" w:history="1">
        <w:r>
          <w:rPr>
            <w:color w:val="0000FF"/>
          </w:rPr>
          <w:t>пункте 26</w:t>
        </w:r>
      </w:hyperlink>
      <w:r>
        <w:t xml:space="preserve"> настоящих Правил, на расчетный счет лизинговой организации, открытый в учреждении Центрального банка Российской Федерации или кредитной организации.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Последнее в финансовом году перечисление субсидии осуществляется не позднее 25 декабря текущего года.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8" w:name="P171"/>
      <w:bookmarkEnd w:id="18"/>
      <w:r>
        <w:t>31. Результатом предоставления субсидии является объем (млн. рублей) заключенных в текущем финансовом году лизинговыми организациями договоров на приобретение высокотехнологичного оборудования и техники.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19" w:name="P172"/>
      <w:bookmarkEnd w:id="19"/>
      <w:r>
        <w:t>Показателем, необходимым для достижения результата предоставления субсидии, является достижение лизингополучателем ежегодного прироста объема выпуска продукции агропромышленного комплекса, транспортировка которой осуществляется через транспортно-логистические узлы, предусмотренные соглашением, не менее чем на 5 процентов ежегодно в течение 4 лет, следующих за годом ввода в эксплуатацию высокотехнологичного оборудования и техники, предоставленных лизинговой организацией лизингополучателю по договору финансовой аренды (лизинга) на условиях, предусмотренных настоящими Правилами. В год, следующий за годом ввода в эксплуатацию таких высокотехнологичного оборудования и техники, объем выпуска в стоимостном выражении продукции агропромышленного комплекса, транспортировка которой осуществляется через транспортно-логистические узлы, предусмотренные соглашением, должен составлять не менее 30 процентов размера предоставленной лизинговой организации субсидии.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При расчете указанного показателя, необходимого для достижения результата предоставления субсидии, учитывается только продукция агропромышленного комплекса, произведенная с использованием предоставленных лизинговой организацией лизингополучателю по договору финансовой аренды (лизинга) высокотехнологичного оборудования и техники на условиях, предусмотренных настоящими Правилами.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Оценка достижения значения указанного показателя, необходимого для достижения результата предоставления субсидии, осуществляется путем сопоставления планового значения показателя, необходимого для достижения результата предоставления субсидии, и его фактического значения.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 xml:space="preserve">32. Лизинговая организация не позднее 20-го рабочего дня года, следующего за отчетным годом, представляет в Министерство сельского хозяйства Российской Федерации с использованием системы "Электронный бюджет" отчет о достижении значений результата предоставления субсидии и показателя, необходимого для достижения результата предоставления субсидии, предусмотренных </w:t>
      </w:r>
      <w:hyperlink w:anchor="P171" w:history="1">
        <w:r>
          <w:rPr>
            <w:color w:val="0000FF"/>
          </w:rPr>
          <w:t>пунктом 31</w:t>
        </w:r>
      </w:hyperlink>
      <w:r>
        <w:t xml:space="preserve"> настоящих Правил, по форме, определенной типовой формой соглашения, установленной Министерством финансов Российской Федерации.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33. Министерство сельского хозяйства Российской Федерации и орган государственного финансового контроля осуществляют обязательные проверки соблюдения лизинговой организацией - получателем субсидии целей, условий и порядка предоставления субсидии, определенных настоящими Правилами и соглашением.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lastRenderedPageBreak/>
        <w:t xml:space="preserve">34. В случае установления в ходе проверок, проведенных Министерством сельского хозяйства Российской Федерации и (или) органом государственного финансового контроля, фактов нарушения условий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результата предоставления субсидии и (или) показателя, необходимого для достижения результата предоставления субсидии, предусмотренных </w:t>
      </w:r>
      <w:hyperlink w:anchor="P171" w:history="1">
        <w:r>
          <w:rPr>
            <w:color w:val="0000FF"/>
          </w:rPr>
          <w:t>пунктом 31</w:t>
        </w:r>
      </w:hyperlink>
      <w:r>
        <w:t xml:space="preserve"> настоящих Правил, субсидия в размере выявленных нарушений подлежит возврату в доход федерального бюджета: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а) на основании требования Министерства сельского хозяйства Российской Федерации - в течение 30 календарных дней со дня получения требования о возврате;</w:t>
      </w:r>
    </w:p>
    <w:p w:rsidR="000A34CF" w:rsidRDefault="000A34CF">
      <w:pPr>
        <w:pStyle w:val="ConsPlusNormal"/>
        <w:spacing w:before="24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ind w:firstLine="540"/>
        <w:jc w:val="both"/>
      </w:pPr>
    </w:p>
    <w:p w:rsidR="000A34CF" w:rsidRDefault="000A34CF">
      <w:pPr>
        <w:pStyle w:val="ConsPlusNormal"/>
        <w:jc w:val="right"/>
        <w:outlineLvl w:val="1"/>
      </w:pPr>
      <w:r>
        <w:t>Приложение</w:t>
      </w:r>
    </w:p>
    <w:p w:rsidR="000A34CF" w:rsidRDefault="000A34CF">
      <w:pPr>
        <w:pStyle w:val="ConsPlusNormal"/>
        <w:jc w:val="right"/>
      </w:pPr>
      <w:r>
        <w:t>к Правилам предоставления</w:t>
      </w:r>
    </w:p>
    <w:p w:rsidR="000A34CF" w:rsidRDefault="000A34CF">
      <w:pPr>
        <w:pStyle w:val="ConsPlusNormal"/>
        <w:jc w:val="right"/>
      </w:pPr>
      <w:r>
        <w:t>государственной поддержки лизинговым</w:t>
      </w:r>
    </w:p>
    <w:p w:rsidR="000A34CF" w:rsidRDefault="000A34CF">
      <w:pPr>
        <w:pStyle w:val="ConsPlusNormal"/>
        <w:jc w:val="right"/>
      </w:pPr>
      <w:r>
        <w:t>организациям в целях возмещения</w:t>
      </w:r>
    </w:p>
    <w:p w:rsidR="000A34CF" w:rsidRDefault="000A34CF">
      <w:pPr>
        <w:pStyle w:val="ConsPlusNormal"/>
        <w:jc w:val="right"/>
      </w:pPr>
      <w:r>
        <w:t>недополученных доходов при уплате</w:t>
      </w:r>
    </w:p>
    <w:p w:rsidR="000A34CF" w:rsidRDefault="000A34CF">
      <w:pPr>
        <w:pStyle w:val="ConsPlusNormal"/>
        <w:jc w:val="right"/>
      </w:pPr>
      <w:r>
        <w:t>лизингополучателем лизинговых платежей</w:t>
      </w:r>
    </w:p>
    <w:p w:rsidR="000A34CF" w:rsidRDefault="000A34CF">
      <w:pPr>
        <w:pStyle w:val="ConsPlusNormal"/>
        <w:jc w:val="right"/>
      </w:pPr>
      <w:r>
        <w:t>по договорам финансовой аренды</w:t>
      </w:r>
    </w:p>
    <w:p w:rsidR="000A34CF" w:rsidRDefault="000A34CF">
      <w:pPr>
        <w:pStyle w:val="ConsPlusNormal"/>
        <w:jc w:val="right"/>
      </w:pPr>
      <w:r>
        <w:t>(лизинга) высокотехнологичного</w:t>
      </w:r>
    </w:p>
    <w:p w:rsidR="000A34CF" w:rsidRDefault="000A34CF">
      <w:pPr>
        <w:pStyle w:val="ConsPlusNormal"/>
        <w:jc w:val="right"/>
      </w:pPr>
      <w:r>
        <w:t>оборудования и техники</w:t>
      </w:r>
    </w:p>
    <w:p w:rsidR="000A34CF" w:rsidRDefault="000A34CF">
      <w:pPr>
        <w:pStyle w:val="ConsPlusNormal"/>
        <w:jc w:val="right"/>
      </w:pPr>
    </w:p>
    <w:p w:rsidR="000A34CF" w:rsidRDefault="000A34CF">
      <w:pPr>
        <w:pStyle w:val="ConsPlusNormal"/>
        <w:jc w:val="right"/>
      </w:pPr>
      <w:r>
        <w:t>(форма)</w:t>
      </w:r>
    </w:p>
    <w:p w:rsidR="000A34CF" w:rsidRDefault="000A34C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0A34CF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center"/>
            </w:pPr>
            <w:bookmarkStart w:id="20" w:name="P197"/>
            <w:bookmarkEnd w:id="20"/>
            <w:r>
              <w:t>РАСЧЕТ</w:t>
            </w:r>
          </w:p>
          <w:p w:rsidR="000A34CF" w:rsidRDefault="000A34CF">
            <w:pPr>
              <w:pStyle w:val="ConsPlusNormal"/>
              <w:jc w:val="center"/>
            </w:pPr>
            <w:r>
              <w:t>размера субсидии из федерального бюджета лизинговой организации</w:t>
            </w:r>
          </w:p>
        </w:tc>
      </w:tr>
    </w:tbl>
    <w:p w:rsidR="000A34CF" w:rsidRDefault="000A34C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0"/>
      </w:tblGrid>
      <w:tr w:rsidR="000A34CF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ind w:firstLine="283"/>
              <w:jc w:val="both"/>
            </w:pPr>
            <w:r>
              <w:t>Наименование лизинговой организации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</w:tr>
    </w:tbl>
    <w:p w:rsidR="000A34CF" w:rsidRDefault="000A34CF">
      <w:pPr>
        <w:pStyle w:val="ConsPlusNormal"/>
        <w:jc w:val="right"/>
      </w:pPr>
    </w:p>
    <w:p w:rsidR="000A34CF" w:rsidRDefault="000A34CF">
      <w:pPr>
        <w:sectPr w:rsidR="000A34CF" w:rsidSect="00954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020"/>
        <w:gridCol w:w="1135"/>
        <w:gridCol w:w="1019"/>
        <w:gridCol w:w="737"/>
        <w:gridCol w:w="1247"/>
        <w:gridCol w:w="1078"/>
        <w:gridCol w:w="1361"/>
        <w:gridCol w:w="2041"/>
        <w:gridCol w:w="1189"/>
        <w:gridCol w:w="677"/>
      </w:tblGrid>
      <w:tr w:rsidR="000A34CF">
        <w:tc>
          <w:tcPr>
            <w:tcW w:w="396" w:type="dxa"/>
          </w:tcPr>
          <w:p w:rsidR="000A34CF" w:rsidRDefault="000A34C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</w:tcPr>
          <w:p w:rsidR="000A34CF" w:rsidRDefault="000A34CF">
            <w:pPr>
              <w:pStyle w:val="ConsPlusNormal"/>
              <w:jc w:val="center"/>
            </w:pPr>
            <w:r>
              <w:t>Номер и дата договора финансовой аренды (лизинга)</w:t>
            </w:r>
          </w:p>
        </w:tc>
        <w:tc>
          <w:tcPr>
            <w:tcW w:w="1135" w:type="dxa"/>
          </w:tcPr>
          <w:p w:rsidR="000A34CF" w:rsidRDefault="000A34CF">
            <w:pPr>
              <w:pStyle w:val="ConsPlusNormal"/>
              <w:jc w:val="center"/>
            </w:pPr>
            <w:r>
              <w:t>Наименование, идентификационный номер налогоплательщика-лизингополучателя</w:t>
            </w:r>
          </w:p>
        </w:tc>
        <w:tc>
          <w:tcPr>
            <w:tcW w:w="1019" w:type="dxa"/>
          </w:tcPr>
          <w:p w:rsidR="000A34CF" w:rsidRDefault="000A34CF">
            <w:pPr>
              <w:pStyle w:val="ConsPlusNormal"/>
              <w:jc w:val="center"/>
            </w:pPr>
            <w:r>
              <w:t>Наименование предмета лизинга (марка, модель)</w:t>
            </w:r>
          </w:p>
        </w:tc>
        <w:tc>
          <w:tcPr>
            <w:tcW w:w="737" w:type="dxa"/>
          </w:tcPr>
          <w:p w:rsidR="000A34CF" w:rsidRDefault="000A34CF">
            <w:pPr>
              <w:pStyle w:val="ConsPlusNormal"/>
              <w:jc w:val="center"/>
            </w:pPr>
            <w:r>
              <w:t>Год производства предмета лизинга</w:t>
            </w:r>
          </w:p>
        </w:tc>
        <w:tc>
          <w:tcPr>
            <w:tcW w:w="1247" w:type="dxa"/>
          </w:tcPr>
          <w:p w:rsidR="000A34CF" w:rsidRDefault="000A34CF">
            <w:pPr>
              <w:pStyle w:val="ConsPlusNormal"/>
              <w:jc w:val="center"/>
            </w:pPr>
            <w:r>
              <w:t xml:space="preserve">Реквизиты заключения о подтверждении производства </w:t>
            </w:r>
            <w:hyperlink w:anchor="P249" w:history="1">
              <w:r>
                <w:rPr>
                  <w:color w:val="0000FF"/>
                </w:rPr>
                <w:t>&lt;1&gt;</w:t>
              </w:r>
            </w:hyperlink>
            <w:r>
              <w:t xml:space="preserve"> (при наличии)</w:t>
            </w:r>
          </w:p>
        </w:tc>
        <w:tc>
          <w:tcPr>
            <w:tcW w:w="1078" w:type="dxa"/>
          </w:tcPr>
          <w:p w:rsidR="000A34CF" w:rsidRDefault="000A34CF">
            <w:pPr>
              <w:pStyle w:val="ConsPlusNormal"/>
              <w:jc w:val="center"/>
            </w:pPr>
            <w:r>
              <w:t>Стоимость предмета договора финансовой аренды (лизинга)</w:t>
            </w:r>
          </w:p>
        </w:tc>
        <w:tc>
          <w:tcPr>
            <w:tcW w:w="1361" w:type="dxa"/>
          </w:tcPr>
          <w:p w:rsidR="000A34CF" w:rsidRDefault="000A34CF">
            <w:pPr>
              <w:pStyle w:val="ConsPlusNormal"/>
              <w:jc w:val="center"/>
            </w:pPr>
            <w:r>
              <w:t xml:space="preserve">Размер фактически недополученного дохода лизинговой организации </w:t>
            </w:r>
            <w:hyperlink w:anchor="P25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</w:tcPr>
          <w:p w:rsidR="000A34CF" w:rsidRDefault="000A34CF">
            <w:pPr>
              <w:pStyle w:val="ConsPlusNormal"/>
              <w:jc w:val="center"/>
            </w:pPr>
            <w:r>
              <w:t>Размер единовременной скидки, предоставленной лизингополучателю в соответствии с договором финансовой аренды (лизинга)</w:t>
            </w:r>
          </w:p>
        </w:tc>
        <w:tc>
          <w:tcPr>
            <w:tcW w:w="1189" w:type="dxa"/>
          </w:tcPr>
          <w:p w:rsidR="000A34CF" w:rsidRDefault="000A34CF">
            <w:pPr>
              <w:pStyle w:val="ConsPlusNormal"/>
              <w:jc w:val="center"/>
            </w:pPr>
            <w:r>
              <w:t>Размер авансового платежа по договору финансовой аренды (лизинга)</w:t>
            </w:r>
          </w:p>
        </w:tc>
        <w:tc>
          <w:tcPr>
            <w:tcW w:w="677" w:type="dxa"/>
          </w:tcPr>
          <w:p w:rsidR="000A34CF" w:rsidRDefault="000A34CF">
            <w:pPr>
              <w:pStyle w:val="ConsPlusNormal"/>
              <w:jc w:val="center"/>
            </w:pPr>
            <w:r>
              <w:t>Размер субсидии (рублей)</w:t>
            </w:r>
          </w:p>
        </w:tc>
      </w:tr>
      <w:tr w:rsidR="000A34CF">
        <w:tc>
          <w:tcPr>
            <w:tcW w:w="396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20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135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19" w:type="dxa"/>
          </w:tcPr>
          <w:p w:rsidR="000A34CF" w:rsidRDefault="000A34CF">
            <w:pPr>
              <w:pStyle w:val="ConsPlusNormal"/>
            </w:pPr>
          </w:p>
        </w:tc>
        <w:tc>
          <w:tcPr>
            <w:tcW w:w="737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247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78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361" w:type="dxa"/>
          </w:tcPr>
          <w:p w:rsidR="000A34CF" w:rsidRDefault="000A34CF">
            <w:pPr>
              <w:pStyle w:val="ConsPlusNormal"/>
            </w:pPr>
          </w:p>
        </w:tc>
        <w:tc>
          <w:tcPr>
            <w:tcW w:w="2041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189" w:type="dxa"/>
          </w:tcPr>
          <w:p w:rsidR="000A34CF" w:rsidRDefault="000A34CF">
            <w:pPr>
              <w:pStyle w:val="ConsPlusNormal"/>
            </w:pPr>
          </w:p>
        </w:tc>
        <w:tc>
          <w:tcPr>
            <w:tcW w:w="677" w:type="dxa"/>
          </w:tcPr>
          <w:p w:rsidR="000A34CF" w:rsidRDefault="000A34CF">
            <w:pPr>
              <w:pStyle w:val="ConsPlusNormal"/>
            </w:pPr>
          </w:p>
        </w:tc>
      </w:tr>
      <w:tr w:rsidR="000A34CF">
        <w:tc>
          <w:tcPr>
            <w:tcW w:w="396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20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135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19" w:type="dxa"/>
          </w:tcPr>
          <w:p w:rsidR="000A34CF" w:rsidRDefault="000A34CF">
            <w:pPr>
              <w:pStyle w:val="ConsPlusNormal"/>
            </w:pPr>
          </w:p>
        </w:tc>
        <w:tc>
          <w:tcPr>
            <w:tcW w:w="737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247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78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361" w:type="dxa"/>
          </w:tcPr>
          <w:p w:rsidR="000A34CF" w:rsidRDefault="000A34CF">
            <w:pPr>
              <w:pStyle w:val="ConsPlusNormal"/>
            </w:pPr>
          </w:p>
        </w:tc>
        <w:tc>
          <w:tcPr>
            <w:tcW w:w="2041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189" w:type="dxa"/>
          </w:tcPr>
          <w:p w:rsidR="000A34CF" w:rsidRDefault="000A34CF">
            <w:pPr>
              <w:pStyle w:val="ConsPlusNormal"/>
            </w:pPr>
          </w:p>
        </w:tc>
        <w:tc>
          <w:tcPr>
            <w:tcW w:w="677" w:type="dxa"/>
          </w:tcPr>
          <w:p w:rsidR="000A34CF" w:rsidRDefault="000A34CF">
            <w:pPr>
              <w:pStyle w:val="ConsPlusNormal"/>
            </w:pPr>
          </w:p>
        </w:tc>
      </w:tr>
      <w:tr w:rsidR="000A34CF">
        <w:tc>
          <w:tcPr>
            <w:tcW w:w="396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20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135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19" w:type="dxa"/>
          </w:tcPr>
          <w:p w:rsidR="000A34CF" w:rsidRDefault="000A34CF">
            <w:pPr>
              <w:pStyle w:val="ConsPlusNormal"/>
            </w:pPr>
          </w:p>
        </w:tc>
        <w:tc>
          <w:tcPr>
            <w:tcW w:w="737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247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078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361" w:type="dxa"/>
          </w:tcPr>
          <w:p w:rsidR="000A34CF" w:rsidRDefault="000A34CF">
            <w:pPr>
              <w:pStyle w:val="ConsPlusNormal"/>
            </w:pPr>
          </w:p>
        </w:tc>
        <w:tc>
          <w:tcPr>
            <w:tcW w:w="2041" w:type="dxa"/>
          </w:tcPr>
          <w:p w:rsidR="000A34CF" w:rsidRDefault="000A34CF">
            <w:pPr>
              <w:pStyle w:val="ConsPlusNormal"/>
            </w:pPr>
          </w:p>
        </w:tc>
        <w:tc>
          <w:tcPr>
            <w:tcW w:w="1189" w:type="dxa"/>
          </w:tcPr>
          <w:p w:rsidR="000A34CF" w:rsidRDefault="000A34CF">
            <w:pPr>
              <w:pStyle w:val="ConsPlusNormal"/>
            </w:pPr>
          </w:p>
        </w:tc>
        <w:tc>
          <w:tcPr>
            <w:tcW w:w="677" w:type="dxa"/>
          </w:tcPr>
          <w:p w:rsidR="000A34CF" w:rsidRDefault="000A34CF">
            <w:pPr>
              <w:pStyle w:val="ConsPlusNormal"/>
            </w:pPr>
          </w:p>
        </w:tc>
      </w:tr>
    </w:tbl>
    <w:p w:rsidR="000A34CF" w:rsidRDefault="000A34CF">
      <w:pPr>
        <w:sectPr w:rsidR="000A34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34CF" w:rsidRDefault="000A34CF">
      <w:pPr>
        <w:pStyle w:val="ConsPlusNormal"/>
        <w:jc w:val="center"/>
      </w:pPr>
    </w:p>
    <w:p w:rsidR="000A34CF" w:rsidRDefault="000A34CF">
      <w:pPr>
        <w:pStyle w:val="ConsPlusNormal"/>
        <w:ind w:firstLine="540"/>
        <w:jc w:val="both"/>
      </w:pPr>
      <w:r>
        <w:t>--------------------------------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21" w:name="P249"/>
      <w:bookmarkEnd w:id="21"/>
      <w:r>
        <w:t xml:space="preserve">&lt;1&gt; Заключение о подтверждении производства промышленной продукции на территории Российской Федерации, выданное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0A34CF" w:rsidRDefault="000A34CF">
      <w:pPr>
        <w:pStyle w:val="ConsPlusNormal"/>
        <w:spacing w:before="240"/>
        <w:ind w:firstLine="540"/>
        <w:jc w:val="both"/>
      </w:pPr>
      <w:bookmarkStart w:id="22" w:name="P250"/>
      <w:bookmarkEnd w:id="22"/>
      <w:r>
        <w:t>&lt;2&gt; Размер фактически недополученного дохода, возникшего вследствие предоставления лизинговой организацией лизингополучателю при уплате авансового платежа единовременной скидки.</w:t>
      </w:r>
    </w:p>
    <w:p w:rsidR="000A34CF" w:rsidRDefault="000A34C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0A34CF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  <w:r>
              <w:t>Общий размер субсидии составляет ____________________________ рублей.</w:t>
            </w:r>
          </w:p>
        </w:tc>
      </w:tr>
    </w:tbl>
    <w:p w:rsidR="000A34CF" w:rsidRDefault="000A34C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40"/>
        <w:gridCol w:w="1814"/>
        <w:gridCol w:w="340"/>
        <w:gridCol w:w="340"/>
        <w:gridCol w:w="1417"/>
        <w:gridCol w:w="340"/>
        <w:gridCol w:w="2551"/>
        <w:gridCol w:w="340"/>
      </w:tblGrid>
      <w:tr w:rsidR="000A34CF"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  <w:r>
              <w:t>Руководитель лизинговой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4CF" w:rsidRDefault="000A34CF">
            <w:pPr>
              <w:pStyle w:val="ConsPlusNormal"/>
            </w:pPr>
          </w:p>
        </w:tc>
      </w:tr>
      <w:tr w:rsidR="000A34CF"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34CF"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4CF" w:rsidRDefault="000A34CF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4CF" w:rsidRDefault="000A34CF">
            <w:pPr>
              <w:pStyle w:val="ConsPlusNormal"/>
            </w:pPr>
          </w:p>
        </w:tc>
      </w:tr>
      <w:tr w:rsidR="000A34CF"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34C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</w:tr>
      <w:tr w:rsidR="000A34C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</w:tr>
      <w:tr w:rsidR="000A34C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  <w:r>
              <w:t>Телефон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  <w:jc w:val="both"/>
            </w:pPr>
          </w:p>
        </w:tc>
      </w:tr>
      <w:tr w:rsidR="000A34CF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  <w:r>
              <w:t>"__" ________ 20__ г.</w:t>
            </w:r>
          </w:p>
        </w:tc>
      </w:tr>
      <w:tr w:rsidR="000A34CF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34CF" w:rsidRDefault="000A34CF">
            <w:pPr>
              <w:pStyle w:val="ConsPlusNormal"/>
            </w:pPr>
            <w:r>
              <w:t>М.П.</w:t>
            </w:r>
          </w:p>
        </w:tc>
      </w:tr>
    </w:tbl>
    <w:p w:rsidR="000A34CF" w:rsidRDefault="000A34CF">
      <w:pPr>
        <w:pStyle w:val="ConsPlusNormal"/>
        <w:jc w:val="both"/>
      </w:pPr>
    </w:p>
    <w:p w:rsidR="000A34CF" w:rsidRDefault="000A34CF">
      <w:pPr>
        <w:pStyle w:val="ConsPlusNormal"/>
        <w:jc w:val="both"/>
      </w:pPr>
    </w:p>
    <w:p w:rsidR="000A34CF" w:rsidRDefault="000A3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/>
    <w:sectPr w:rsidR="00CC2C78" w:rsidSect="00664F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CF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A34CF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787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3C30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CA5D-7A64-4034-B24D-C15D01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34C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A34C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5335BD34C802DB0CD720A1C991A9D833AF3CFD68F12AEC4D63CE41E782DF26799A32E92E0ACC8BF2CD0DADA62BB695120A155N8BCA" TargetMode="External"/><Relationship Id="rId13" Type="http://schemas.openxmlformats.org/officeDocument/2006/relationships/hyperlink" Target="consultantplus://offline/ref=7245335BD34C802DB0CD720A1C991A9D833AF3CEDA8F12AEC4D63CE41E782DF26799A32C91EBF899F27289899D29B7694C3CA05593E35EECN4BBA" TargetMode="External"/><Relationship Id="rId18" Type="http://schemas.openxmlformats.org/officeDocument/2006/relationships/hyperlink" Target="consultantplus://offline/ref=7245335BD34C802DB0CD720A1C991A9D8432F8CBDC8B12AEC4D63CE41E782DF26799A32C91EBF898F87289899D29B7694C3CA05593E35EECN4BB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45335BD34C802DB0CD720A1C991A9D833AF0CAD98D12AEC4D63CE41E782DF26799A32C91EBF899F27289899D29B7694C3CA05593E35EECN4BBA" TargetMode="External"/><Relationship Id="rId12" Type="http://schemas.openxmlformats.org/officeDocument/2006/relationships/hyperlink" Target="consultantplus://offline/ref=7245335BD34C802DB0CD720A1C991A9D8432F8CBDC8B12AEC4D63CE41E782DF26799A32C91EBF898F87289899D29B7694C3CA05593E35EECN4BBA" TargetMode="External"/><Relationship Id="rId17" Type="http://schemas.openxmlformats.org/officeDocument/2006/relationships/hyperlink" Target="consultantplus://offline/ref=7245335BD34C802DB0CD720A1C991A9D8532F3CDD98A12AEC4D63CE41E782DF26799A3289ABFA9DDAE74DFDBC77DB8754D22A3N5B6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5335BD34C802DB0CD720A1C991A9D8532F3C4D78812AEC4D63CE41E782DF26799A32C91EBF898FB7289899D29B7694C3CA05593E35EECN4BBA" TargetMode="External"/><Relationship Id="rId20" Type="http://schemas.openxmlformats.org/officeDocument/2006/relationships/hyperlink" Target="consultantplus://offline/ref=7245335BD34C802DB0CD720A1C991A9D833AF3CFD68F12AEC4D63CE41E782DF26799A32E92E0ACC8BF2CD0DADA62BB695120A155N8B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5335BD34C802DB0CD720A1C991A9D8433F4C9D68F12AEC4D63CE41E782DF26799A32C94E2FA9DFF7289899D29B7694C3CA05593E35EECN4BBA" TargetMode="External"/><Relationship Id="rId11" Type="http://schemas.openxmlformats.org/officeDocument/2006/relationships/hyperlink" Target="consultantplus://offline/ref=7245335BD34C802DB0CD720A1C991A9D8432F8CBDC8B12AEC4D63CE41E782DF26799A32C91EBF898F87289899D29B7694C3CA05593E35EECN4BBA" TargetMode="External"/><Relationship Id="rId5" Type="http://schemas.openxmlformats.org/officeDocument/2006/relationships/hyperlink" Target="consultantplus://offline/ref=7245335BD34C802DB0CD720A1C991A9D8433F4C9D68F12AEC4D63CE41E782DF26799A32C94E2FA91FF7289899D29B7694C3CA05593E35EECN4BBA" TargetMode="External"/><Relationship Id="rId15" Type="http://schemas.openxmlformats.org/officeDocument/2006/relationships/hyperlink" Target="consultantplus://offline/ref=7245335BD34C802DB0CD720A1C991A9D8532F3CDD98A12AEC4D63CE41E782DF26799A3289ABFA9DDAE74DFDBC77DB8754D22A3N5B6A" TargetMode="External"/><Relationship Id="rId10" Type="http://schemas.openxmlformats.org/officeDocument/2006/relationships/hyperlink" Target="consultantplus://offline/ref=7245335BD34C802DB0CD720A1C991A9D8532F0C8D68812AEC4D63CE41E782DF27599FB2093E8E698F967DFD8DBN7BDA" TargetMode="External"/><Relationship Id="rId19" Type="http://schemas.openxmlformats.org/officeDocument/2006/relationships/hyperlink" Target="consultantplus://offline/ref=7245335BD34C802DB0CD720A1C991A9D8432F4C5D78F12AEC4D63CE41E782DF27599FB2093E8E698F967DFD8DBN7BD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45335BD34C802DB0CD720A1C991A9D8432F4C5D78F12AEC4D63CE41E782DF27599FB2093E8E698F967DFD8DBN7BDA" TargetMode="External"/><Relationship Id="rId14" Type="http://schemas.openxmlformats.org/officeDocument/2006/relationships/hyperlink" Target="consultantplus://offline/ref=7245335BD34C802DB0CD720A1C991A9D843CF3CDDD8B12AEC4D63CE41E782DF26799A32C91EBFD91F37289899D29B7694C3CA05593E35EECN4B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Шпакова Оксана Анатольевна</cp:lastModifiedBy>
  <cp:revision>2</cp:revision>
  <dcterms:created xsi:type="dcterms:W3CDTF">2021-12-23T00:04:00Z</dcterms:created>
  <dcterms:modified xsi:type="dcterms:W3CDTF">2021-12-23T00:04:00Z</dcterms:modified>
</cp:coreProperties>
</file>