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6468F" w:rsidRDefault="00F317C2" w:rsidP="00F6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2DB0" w:rsidRPr="00F66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DB0" w:rsidRPr="00F66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6468F" w:rsidRPr="00F66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4CB0" w:rsidRPr="00F661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468F" w:rsidRPr="00F66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AE4CB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0">
              <w:rPr>
                <w:rFonts w:ascii="Times New Roman" w:hAnsi="Times New Roman" w:cs="Times New Roman"/>
                <w:sz w:val="28"/>
                <w:szCs w:val="28"/>
              </w:rPr>
              <w:t>AgZan</w:t>
            </w:r>
            <w:r w:rsidR="0080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8043B7">
              <w:rPr>
                <w:rFonts w:ascii="Times New Roman" w:hAnsi="Times New Roman" w:cs="Times New Roman"/>
                <w:sz w:val="28"/>
                <w:szCs w:val="28"/>
              </w:rPr>
              <w:t>at@ka</w:t>
            </w:r>
            <w:r w:rsidR="0080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E4CB0">
              <w:rPr>
                <w:rFonts w:ascii="Times New Roman" w:hAnsi="Times New Roman" w:cs="Times New Roman"/>
                <w:sz w:val="28"/>
                <w:szCs w:val="28"/>
              </w:rPr>
              <w:t>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AE4CB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Мизинин Сергей Владимирович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6468F" w:rsidRPr="00ED6E1B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E1B">
              <w:rPr>
                <w:rFonts w:ascii="Times New Roman" w:hAnsi="Times New Roman"/>
                <w:sz w:val="28"/>
                <w:szCs w:val="28"/>
              </w:rPr>
              <w:t>1) охота, отлов и отстрел диких животных, включая предоставление услуг в этих областях (код 01.70)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2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E1B">
              <w:rPr>
                <w:rFonts w:ascii="Times New Roman" w:hAnsi="Times New Roman"/>
                <w:sz w:val="28"/>
                <w:szCs w:val="28"/>
              </w:rPr>
              <w:t xml:space="preserve">за исключением </w:t>
            </w: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  <w:r w:rsidRPr="00ED6E1B">
              <w:rPr>
                <w:rFonts w:ascii="Times New Roman" w:hAnsi="Times New Roman"/>
                <w:sz w:val="28"/>
                <w:szCs w:val="28"/>
              </w:rPr>
              <w:t xml:space="preserve"> подсобный рабочий;</w:t>
            </w:r>
          </w:p>
          <w:p w:rsidR="00F6468F" w:rsidRPr="00EE08F9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E1B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E08F9">
              <w:rPr>
                <w:rFonts w:ascii="Times New Roman" w:hAnsi="Times New Roman"/>
                <w:sz w:val="28"/>
                <w:szCs w:val="28"/>
              </w:rPr>
              <w:t>производство продукции из мяса убойных животных и мяса птицы (код 10.13);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8F9">
              <w:rPr>
                <w:rFonts w:ascii="Times New Roman" w:hAnsi="Times New Roman"/>
                <w:sz w:val="28"/>
                <w:szCs w:val="28"/>
              </w:rPr>
              <w:t>3) производство молока (кроме сырого) и молочной продукции (код 10.51)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8F9">
              <w:rPr>
                <w:rFonts w:ascii="Times New Roman" w:hAnsi="Times New Roman"/>
                <w:sz w:val="28"/>
                <w:szCs w:val="28"/>
              </w:rPr>
              <w:t>4) производство детского питания и диетических пищевых продуктов (код 10.86);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8E">
              <w:rPr>
                <w:rFonts w:ascii="Times New Roman" w:hAnsi="Times New Roman"/>
                <w:sz w:val="28"/>
                <w:szCs w:val="28"/>
              </w:rPr>
              <w:t>5) производство пива (код 11.05);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8E">
              <w:rPr>
                <w:rFonts w:ascii="Times New Roman" w:hAnsi="Times New Roman"/>
                <w:sz w:val="28"/>
                <w:szCs w:val="28"/>
              </w:rPr>
              <w:t>6) производство безалкогольных напитков; производство минеральных вод и прочих питьевых вод в бутылках (код 11.07);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8E">
              <w:rPr>
                <w:rFonts w:ascii="Times New Roman" w:hAnsi="Times New Roman"/>
                <w:sz w:val="28"/>
                <w:szCs w:val="28"/>
              </w:rPr>
              <w:t>7) обеспечение электрической энергией, газом и паром, кондиционирование воздуха (код 35);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8E">
              <w:rPr>
                <w:rFonts w:ascii="Times New Roman" w:hAnsi="Times New Roman"/>
                <w:sz w:val="28"/>
                <w:szCs w:val="28"/>
              </w:rPr>
              <w:lastRenderedPageBreak/>
              <w:t>8) з</w:t>
            </w:r>
            <w:r w:rsidRPr="00304F8E">
              <w:rPr>
                <w:rFonts w:ascii="Times New Roman" w:hAnsi="Times New Roman"/>
                <w:bCs/>
                <w:iCs/>
                <w:sz w:val="28"/>
                <w:szCs w:val="28"/>
              </w:rPr>
              <w:t>абор, очис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тка и распределение воды (код 36</w:t>
            </w:r>
            <w:r w:rsidRPr="00304F8E">
              <w:rPr>
                <w:rFonts w:ascii="Times New Roman" w:hAnsi="Times New Roman"/>
                <w:bCs/>
                <w:iCs/>
                <w:sz w:val="28"/>
                <w:szCs w:val="28"/>
              </w:rPr>
              <w:t>);</w:t>
            </w:r>
          </w:p>
          <w:p w:rsidR="00F6468F" w:rsidRPr="00304F8E" w:rsidRDefault="00F6468F" w:rsidP="00F646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04F8E">
              <w:rPr>
                <w:sz w:val="28"/>
                <w:szCs w:val="28"/>
              </w:rPr>
              <w:t xml:space="preserve">9) </w:t>
            </w:r>
            <w:r>
              <w:rPr>
                <w:bCs/>
                <w:iCs/>
                <w:sz w:val="28"/>
                <w:szCs w:val="28"/>
              </w:rPr>
              <w:t>д</w:t>
            </w:r>
            <w:r w:rsidRPr="00304F8E">
              <w:rPr>
                <w:bCs/>
                <w:iCs/>
                <w:sz w:val="28"/>
                <w:szCs w:val="28"/>
              </w:rPr>
              <w:t xml:space="preserve">еятельность по предоставлению продуктов питания и напитков </w:t>
            </w:r>
            <w:r w:rsidRPr="00304F8E">
              <w:rPr>
                <w:sz w:val="28"/>
                <w:szCs w:val="28"/>
              </w:rPr>
              <w:t>(код 56), за исключением профессий: кухонный рабочий, мойщик посуды, повар;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8E">
              <w:rPr>
                <w:rFonts w:ascii="Times New Roman" w:hAnsi="Times New Roman"/>
                <w:sz w:val="28"/>
                <w:szCs w:val="28"/>
              </w:rPr>
              <w:t>10) деятельность по трудоустройству и подбору персонала (код 78);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8E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Pr="00304F8E">
              <w:rPr>
                <w:rFonts w:ascii="Times New Roman" w:hAnsi="Times New Roman"/>
                <w:bCs/>
                <w:iCs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  <w:r w:rsidRPr="00304F8E">
              <w:rPr>
                <w:rFonts w:ascii="Times New Roman" w:hAnsi="Times New Roman"/>
                <w:sz w:val="28"/>
                <w:szCs w:val="28"/>
              </w:rPr>
              <w:t xml:space="preserve"> (код 79), за исключением профессий: кухонный рабочий, мойщик посуды, повар, подсобный рабочий, уборщик подсобных помещений, уборщик служебных помещений, уборщик территорий;</w:t>
            </w:r>
          </w:p>
          <w:p w:rsidR="00F6468F" w:rsidRPr="00304F8E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F8E">
              <w:rPr>
                <w:rFonts w:ascii="Times New Roman" w:hAnsi="Times New Roman"/>
                <w:sz w:val="28"/>
                <w:szCs w:val="28"/>
              </w:rPr>
              <w:t>12) деятельность по обеспечению безопасности и проведению расследований (код 80);</w:t>
            </w:r>
          </w:p>
          <w:p w:rsidR="00F6468F" w:rsidRPr="00EE08F9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8F9">
              <w:rPr>
                <w:rFonts w:ascii="Times New Roman" w:hAnsi="Times New Roman"/>
                <w:sz w:val="28"/>
                <w:szCs w:val="28"/>
              </w:rPr>
              <w:t>13) образование (код 85), за исключением професси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E08F9">
              <w:rPr>
                <w:rFonts w:ascii="Times New Roman" w:hAnsi="Times New Roman"/>
                <w:sz w:val="28"/>
                <w:szCs w:val="28"/>
              </w:rPr>
              <w:t>: уборщик производственных и служебных помещений, уборщик территории;</w:t>
            </w:r>
          </w:p>
          <w:p w:rsidR="00F6468F" w:rsidRPr="00EE08F9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8F9">
              <w:rPr>
                <w:rFonts w:ascii="Times New Roman" w:hAnsi="Times New Roman"/>
                <w:sz w:val="28"/>
                <w:szCs w:val="28"/>
              </w:rPr>
              <w:t>14) деятельность по уходу с обеспечением проживания (код 87);</w:t>
            </w:r>
          </w:p>
          <w:p w:rsidR="00F6468F" w:rsidRPr="00EE08F9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8F9">
              <w:rPr>
                <w:rFonts w:ascii="Times New Roman" w:hAnsi="Times New Roman"/>
                <w:sz w:val="28"/>
                <w:szCs w:val="28"/>
              </w:rPr>
              <w:t>15) предоставление социальных услуг без обеспечения проживания (код 88);</w:t>
            </w:r>
          </w:p>
          <w:p w:rsidR="0033609E" w:rsidRPr="006438CA" w:rsidRDefault="00F6468F" w:rsidP="00F6468F">
            <w:pPr>
              <w:pStyle w:val="af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8F9">
              <w:rPr>
                <w:rFonts w:ascii="Times New Roman" w:hAnsi="Times New Roman"/>
                <w:sz w:val="28"/>
                <w:szCs w:val="28"/>
              </w:rPr>
              <w:t>16) деятельность библиотек и архивов (код 91.01), за исключением профессий: уборщик производственных</w:t>
            </w:r>
            <w:r w:rsidRPr="00ED6E1B">
              <w:rPr>
                <w:rFonts w:ascii="Times New Roman" w:hAnsi="Times New Roman"/>
                <w:sz w:val="28"/>
                <w:szCs w:val="28"/>
              </w:rPr>
              <w:t xml:space="preserve"> помещений, уборщик служебных помеще</w:t>
            </w:r>
            <w:r>
              <w:rPr>
                <w:rFonts w:ascii="Times New Roman" w:hAnsi="Times New Roman"/>
                <w:sz w:val="28"/>
                <w:szCs w:val="28"/>
              </w:rPr>
              <w:t>ний, уборщик территории.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DD4CFF" w:rsidP="00F646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CF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постановления Губ</w:t>
            </w:r>
            <w:r w:rsidR="00F6468F">
              <w:rPr>
                <w:rFonts w:ascii="Times New Roman" w:hAnsi="Times New Roman" w:cs="Times New Roman"/>
                <w:bCs/>
                <w:sz w:val="28"/>
                <w:szCs w:val="28"/>
              </w:rPr>
              <w:t>ернатора «Об установлении на 2020</w:t>
            </w:r>
            <w:r w:rsidRPr="00DD4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</w:t>
            </w:r>
          </w:p>
        </w:tc>
      </w:tr>
      <w:tr w:rsidR="009D4D0D" w:rsidRPr="00F661F6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F661F6" w:rsidP="00DE0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7" w:anchor="npa=6391" w:history="1">
              <w:r w:rsidRPr="00F661F6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http://regulation.kamgov.ru/projects#npa=6391</w:t>
              </w:r>
            </w:hyperlink>
          </w:p>
        </w:tc>
      </w:tr>
    </w:tbl>
    <w:p w:rsidR="00AE4CB0" w:rsidRPr="00065FF5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7C277A">
      <w:pgSz w:w="11906" w:h="16838"/>
      <w:pgMar w:top="851" w:right="991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1C" w:rsidRDefault="00B4591C" w:rsidP="0055633C">
      <w:pPr>
        <w:spacing w:after="0" w:line="240" w:lineRule="auto"/>
      </w:pPr>
      <w:r>
        <w:separator/>
      </w:r>
    </w:p>
  </w:endnote>
  <w:endnote w:type="continuationSeparator" w:id="0">
    <w:p w:rsidR="00B4591C" w:rsidRDefault="00B4591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1C" w:rsidRDefault="00B4591C" w:rsidP="0055633C">
      <w:pPr>
        <w:spacing w:after="0" w:line="240" w:lineRule="auto"/>
      </w:pPr>
      <w:r>
        <w:separator/>
      </w:r>
    </w:p>
  </w:footnote>
  <w:footnote w:type="continuationSeparator" w:id="0">
    <w:p w:rsidR="00B4591C" w:rsidRDefault="00B4591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1487C"/>
    <w:rsid w:val="00031998"/>
    <w:rsid w:val="00040E5D"/>
    <w:rsid w:val="00051200"/>
    <w:rsid w:val="00051FC8"/>
    <w:rsid w:val="00065FF5"/>
    <w:rsid w:val="00067770"/>
    <w:rsid w:val="00093943"/>
    <w:rsid w:val="000A1215"/>
    <w:rsid w:val="000A4A08"/>
    <w:rsid w:val="000C5F30"/>
    <w:rsid w:val="000F4752"/>
    <w:rsid w:val="000F5243"/>
    <w:rsid w:val="00150AF1"/>
    <w:rsid w:val="00163ACB"/>
    <w:rsid w:val="00192D1F"/>
    <w:rsid w:val="0019634C"/>
    <w:rsid w:val="001C6D94"/>
    <w:rsid w:val="001D3002"/>
    <w:rsid w:val="001F6E13"/>
    <w:rsid w:val="0023567D"/>
    <w:rsid w:val="0028076E"/>
    <w:rsid w:val="002A5176"/>
    <w:rsid w:val="002C0837"/>
    <w:rsid w:val="002E6571"/>
    <w:rsid w:val="0033609E"/>
    <w:rsid w:val="00426482"/>
    <w:rsid w:val="00430D0A"/>
    <w:rsid w:val="004338CE"/>
    <w:rsid w:val="004F2D8A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348BB"/>
    <w:rsid w:val="00641698"/>
    <w:rsid w:val="006438CA"/>
    <w:rsid w:val="00652F9D"/>
    <w:rsid w:val="00662DB0"/>
    <w:rsid w:val="006A074A"/>
    <w:rsid w:val="006A7560"/>
    <w:rsid w:val="006C38E9"/>
    <w:rsid w:val="006C6D6A"/>
    <w:rsid w:val="00701C61"/>
    <w:rsid w:val="00705303"/>
    <w:rsid w:val="0071309A"/>
    <w:rsid w:val="0077599D"/>
    <w:rsid w:val="00792179"/>
    <w:rsid w:val="007A1DA9"/>
    <w:rsid w:val="007C277A"/>
    <w:rsid w:val="007C6C38"/>
    <w:rsid w:val="007D0E6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93C70"/>
    <w:rsid w:val="00AE4CB0"/>
    <w:rsid w:val="00B05EDB"/>
    <w:rsid w:val="00B17D0C"/>
    <w:rsid w:val="00B43F38"/>
    <w:rsid w:val="00B4591C"/>
    <w:rsid w:val="00B555F7"/>
    <w:rsid w:val="00B81F22"/>
    <w:rsid w:val="00BA7C8D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3521"/>
    <w:rsid w:val="00DA2447"/>
    <w:rsid w:val="00DB7708"/>
    <w:rsid w:val="00DD4CFF"/>
    <w:rsid w:val="00DE0EC3"/>
    <w:rsid w:val="00E804B8"/>
    <w:rsid w:val="00E955CE"/>
    <w:rsid w:val="00EA1D65"/>
    <w:rsid w:val="00F317C2"/>
    <w:rsid w:val="00F54AD3"/>
    <w:rsid w:val="00F568BE"/>
    <w:rsid w:val="00F63151"/>
    <w:rsid w:val="00F6468F"/>
    <w:rsid w:val="00F661F6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4F2FD-CD56-4BBB-8441-1C5EE4C3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F66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B75868-E12E-4075-8FDD-28C1857F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Мизинин Сергей Владимирович</cp:lastModifiedBy>
  <cp:revision>16</cp:revision>
  <cp:lastPrinted>2018-12-10T21:05:00Z</cp:lastPrinted>
  <dcterms:created xsi:type="dcterms:W3CDTF">2017-11-29T23:05:00Z</dcterms:created>
  <dcterms:modified xsi:type="dcterms:W3CDTF">2019-06-25T22:34:00Z</dcterms:modified>
</cp:coreProperties>
</file>