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5F" w:rsidRDefault="00CB6A5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</w:pPr>
      <w:r>
        <w:t>Зарегистрировано в Минюсте России 14 ноября 2016 г. N 44323</w:t>
      </w:r>
    </w:p>
    <w:p w:rsidR="00CB6A5F" w:rsidRDefault="00CB6A5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CB6A5F" w:rsidRDefault="00CB6A5F">
      <w:pPr>
        <w:pStyle w:val="ConsPlusTitle"/>
        <w:jc w:val="center"/>
      </w:pPr>
    </w:p>
    <w:p w:rsidR="00CB6A5F" w:rsidRDefault="00CB6A5F">
      <w:pPr>
        <w:pStyle w:val="ConsPlusTitle"/>
        <w:jc w:val="center"/>
      </w:pPr>
      <w:r>
        <w:t>ПРИКАЗ</w:t>
      </w:r>
    </w:p>
    <w:p w:rsidR="00CB6A5F" w:rsidRDefault="00CB6A5F">
      <w:pPr>
        <w:pStyle w:val="ConsPlusTitle"/>
        <w:jc w:val="center"/>
      </w:pPr>
      <w:r>
        <w:t>от 13 июля 2016 г. N 294</w:t>
      </w:r>
    </w:p>
    <w:p w:rsidR="00CB6A5F" w:rsidRDefault="00CB6A5F">
      <w:pPr>
        <w:pStyle w:val="ConsPlusTitle"/>
        <w:jc w:val="center"/>
      </w:pPr>
    </w:p>
    <w:p w:rsidR="00CB6A5F" w:rsidRDefault="00CB6A5F">
      <w:pPr>
        <w:pStyle w:val="ConsPlusTitle"/>
        <w:jc w:val="center"/>
      </w:pPr>
      <w:r>
        <w:t>ОБ УТВЕРЖДЕНИИ ПОРЯДКА</w:t>
      </w:r>
    </w:p>
    <w:p w:rsidR="00CB6A5F" w:rsidRDefault="00CB6A5F">
      <w:pPr>
        <w:pStyle w:val="ConsPlusTitle"/>
        <w:jc w:val="center"/>
      </w:pPr>
      <w:r>
        <w:t>ОСНАЩЕНИЯ СУДОВ ТЕХНИЧЕСКИМИ СРЕДСТВАМИ КОНТРОЛЯ И ИХ ВИДОВ</w:t>
      </w: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5.2.25(59)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</w:t>
      </w:r>
      <w:proofErr w:type="gramEnd"/>
      <w:r>
        <w:t xml:space="preserve"> </w:t>
      </w:r>
      <w:proofErr w:type="gramStart"/>
      <w:r>
        <w:t>N 3, ст. 378; N 6, ст. 738; N 9, ст. 1119, ст. 1121; N 27, ст. 3364; N 33, ст. 4088; 2010, N 4, ст. 394; N 5, ст. 538; N 23, ст. 2833; N 26, ст. 3350; N 31, ст. 4251; ст. 4262; N 32, ст. 4330; N 40, ст. 5068;</w:t>
      </w:r>
      <w:proofErr w:type="gramEnd"/>
      <w:r>
        <w:t xml:space="preserve"> </w:t>
      </w:r>
      <w:proofErr w:type="gramStart"/>
      <w:r>
        <w:t>2011, N 7, ст. 983; N 12, ст. 1652; N 14, ст. 1935; N 18, ст. 2649; N 22, ст. 3179; N 36, ст. 5154; 2012, N 28, ст. 3900; N 32, ст. 4561; N 37, ст. 5001; 2013, N 10, ст. 1038; N 29, ст. 3969; N 33, ст. 4386;</w:t>
      </w:r>
      <w:proofErr w:type="gramEnd"/>
      <w:r>
        <w:t xml:space="preserve"> </w:t>
      </w:r>
      <w:proofErr w:type="gramStart"/>
      <w:r>
        <w:t>N 45, ст. 5822; 2014, N 4, ст. 382; N 10, ст. 1035; N 12, ст. 1297; N 28, ст. 4068; 2015, N 2, ст. 491; N 11, ст. 1611; N 26, ст. 3900; N 35, ст. 4981; N 38, ст. 5297; N 47, ст. 6603; 2016, N 2, ст. 325), приказываю:</w:t>
      </w:r>
      <w:proofErr w:type="gramEnd"/>
    </w:p>
    <w:p w:rsidR="00CB6A5F" w:rsidRDefault="00CB6A5F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оснащения судов техническими средствами контроля и их виды (далее - Порядок) согласно приложению.</w:t>
      </w:r>
    </w:p>
    <w:p w:rsidR="00CB6A5F" w:rsidRDefault="00CB6A5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 1 января 2017 года, за исключением положений </w:t>
      </w:r>
      <w:hyperlink w:anchor="P35" w:history="1">
        <w:r>
          <w:rPr>
            <w:color w:val="0000FF"/>
          </w:rPr>
          <w:t>подпункта "б" пункта 3</w:t>
        </w:r>
      </w:hyperlink>
      <w:r>
        <w:t xml:space="preserve"> Порядка в части использования на судах валовой вместимостью менее 300 тонн, не осуществляющих плавание в районах Мирового океана выше 75° северной широты и выше 75° южной широты, оборудования в составе технических средствах контроля, обеспечивающего постоянную мощность передачи в автоматическую идентификационную систему сигналов о</w:t>
      </w:r>
      <w:proofErr w:type="gramEnd"/>
      <w:r>
        <w:t xml:space="preserve"> местоположении судна, </w:t>
      </w:r>
      <w:proofErr w:type="gramStart"/>
      <w:r>
        <w:t>вступающих</w:t>
      </w:r>
      <w:proofErr w:type="gramEnd"/>
      <w:r>
        <w:t xml:space="preserve"> в силу с 1 января 2018 года.</w:t>
      </w:r>
    </w:p>
    <w:p w:rsidR="00CB6A5F" w:rsidRDefault="00CB6A5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сельского хозяйства Российской Федерации - руководителя Федерального агентства по рыболовству И.В. Шестакова.</w:t>
      </w: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jc w:val="right"/>
      </w:pPr>
      <w:r>
        <w:t>Министр</w:t>
      </w:r>
    </w:p>
    <w:p w:rsidR="00CB6A5F" w:rsidRDefault="00CB6A5F">
      <w:pPr>
        <w:pStyle w:val="ConsPlusNormal"/>
        <w:jc w:val="right"/>
      </w:pPr>
      <w:r>
        <w:t>А.Н.ТКАЧЕВ</w:t>
      </w: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jc w:val="right"/>
      </w:pPr>
      <w:r>
        <w:t>Утвержден</w:t>
      </w:r>
    </w:p>
    <w:p w:rsidR="00CB6A5F" w:rsidRDefault="00CB6A5F">
      <w:pPr>
        <w:pStyle w:val="ConsPlusNormal"/>
        <w:jc w:val="right"/>
      </w:pPr>
      <w:r>
        <w:t>приказом Минсельхоза России</w:t>
      </w:r>
    </w:p>
    <w:p w:rsidR="00CB6A5F" w:rsidRDefault="00CB6A5F">
      <w:pPr>
        <w:pStyle w:val="ConsPlusNormal"/>
        <w:jc w:val="right"/>
      </w:pPr>
      <w:r>
        <w:t>от 13 июля 2016 г. N 294</w:t>
      </w: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Title"/>
        <w:jc w:val="center"/>
      </w:pPr>
      <w:bookmarkStart w:id="0" w:name="P28"/>
      <w:bookmarkEnd w:id="0"/>
      <w:r>
        <w:t>ПОРЯДОК</w:t>
      </w:r>
    </w:p>
    <w:p w:rsidR="00CB6A5F" w:rsidRDefault="00CB6A5F">
      <w:pPr>
        <w:pStyle w:val="ConsPlusTitle"/>
        <w:jc w:val="center"/>
      </w:pPr>
      <w:r>
        <w:t>ОСНАЩЕНИЯ СУДОВ ТЕХНИЧЕСКИМИ СРЕДСТВАМИ КОНТРОЛЯ И ИХ ВИДЫ</w:t>
      </w: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ind w:firstLine="540"/>
        <w:jc w:val="both"/>
      </w:pPr>
      <w:r>
        <w:t xml:space="preserve">1. Настоящий Порядок разработан в соответствии с положениями </w:t>
      </w:r>
      <w:hyperlink r:id="rId7" w:history="1">
        <w:r>
          <w:rPr>
            <w:color w:val="0000FF"/>
          </w:rPr>
          <w:t>части 1 статьи 19</w:t>
        </w:r>
      </w:hyperlink>
      <w:r>
        <w:t xml:space="preserve"> и </w:t>
      </w:r>
      <w:hyperlink r:id="rId8" w:history="1">
        <w:r>
          <w:rPr>
            <w:color w:val="0000FF"/>
          </w:rPr>
          <w:t>части 1 статьи 20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</w:t>
      </w:r>
      <w:proofErr w:type="gramStart"/>
      <w:r>
        <w:t xml:space="preserve">N 52, ст. 5498; 2007, N 1, ст. 23; N 17, ст. 1933; N 50, ст. </w:t>
      </w:r>
      <w:r>
        <w:lastRenderedPageBreak/>
        <w:t>6246; 2011, N 1, ст. 32; N 30, ст. 4590; N 48, ст. 6728; N 48, ст. 6732; N 50, ст. 7343, ст. 7351; 2013, N 27, ст. 3440; N 52, ст. 6961; 2014, N 11, ст. 1098;</w:t>
      </w:r>
      <w:proofErr w:type="gramEnd"/>
      <w:r>
        <w:t xml:space="preserve"> </w:t>
      </w:r>
      <w:proofErr w:type="gramStart"/>
      <w:r>
        <w:t>N 26, ст. 3387; N 45, ст. 6153; N 52, ст. 7556; 2015, N 1, ст. 72; N 18, ст. 2623; N 27, ст. 3999; ст. 4282).</w:t>
      </w:r>
      <w:proofErr w:type="gramEnd"/>
    </w:p>
    <w:p w:rsidR="00CB6A5F" w:rsidRDefault="00CB6A5F">
      <w:pPr>
        <w:pStyle w:val="ConsPlusNormal"/>
        <w:ind w:firstLine="540"/>
        <w:jc w:val="both"/>
      </w:pPr>
      <w:r>
        <w:t>2. Настоящий Порядок определяет обязательные для исполнения судовладельцами процедуры по оснащению техническими средствами контроля (далее - ТСК) самоходных судов с главным двигателем мощностью более пятидесяти пяти киловатт и валовой вместимостью более восьмидесяти тонн, которым предоставлено право плавания под Государственным флагом Российской Федерации, осуществляющих прибрежное и/или промышленное рыболовство (далее - суда).</w:t>
      </w:r>
    </w:p>
    <w:p w:rsidR="00CB6A5F" w:rsidRDefault="00CB6A5F">
      <w:pPr>
        <w:pStyle w:val="ConsPlusNormal"/>
        <w:ind w:firstLine="540"/>
        <w:jc w:val="both"/>
      </w:pPr>
      <w:r>
        <w:t xml:space="preserve">3. </w:t>
      </w:r>
      <w:proofErr w:type="gramStart"/>
      <w:r>
        <w:t>В качестве ТСК используется комплекс судового оборудования со встроенным приемником ГЛОНАСС или ГЛОНАСС/GPS, обеспечивающий точность определения горизонтальных координат местоположения судна не менее 100 метров (с вероятностью не менее 95%) и передачу некорректируемых данных в региональный центр мониторинга (далее - РЦМ) в автоматическом режиме, функционирующий на основе космических спутниковых систем, отвечающих требованиям законодательства о связи, в состав которого входят:</w:t>
      </w:r>
      <w:proofErr w:type="gramEnd"/>
    </w:p>
    <w:p w:rsidR="00CB6A5F" w:rsidRDefault="00CB6A5F">
      <w:pPr>
        <w:pStyle w:val="ConsPlusNormal"/>
        <w:ind w:firstLine="540"/>
        <w:jc w:val="both"/>
      </w:pPr>
      <w:r>
        <w:t>а) судовая земная станция или радиомаяк спутниковой системы связи (далее - СЗС);</w:t>
      </w:r>
    </w:p>
    <w:p w:rsidR="00CB6A5F" w:rsidRDefault="00CB6A5F">
      <w:pPr>
        <w:pStyle w:val="ConsPlusNormal"/>
        <w:ind w:firstLine="540"/>
        <w:jc w:val="both"/>
      </w:pPr>
      <w:bookmarkStart w:id="1" w:name="P35"/>
      <w:bookmarkEnd w:id="1"/>
      <w:r>
        <w:t>б) оборудование, устанавливаемое на судах и обеспечивающее постоянную мощность передачи в автоматическую идентификационную систему сигналов о местоположении судна (далее - аппаратура АИС).</w:t>
      </w:r>
    </w:p>
    <w:p w:rsidR="00CB6A5F" w:rsidRDefault="00CB6A5F">
      <w:pPr>
        <w:pStyle w:val="ConsPlusNormal"/>
        <w:ind w:firstLine="540"/>
        <w:jc w:val="both"/>
      </w:pPr>
      <w:r>
        <w:t>4. Оснащение судна ТСК включает в себя выполнение комплекса мероприятий и процедур по установке на судне ТСК, обеспечивающего автоматическую передачу информации о местоположении судна в период нахождения судна в эксплуатационном состоянии &lt;1&gt;.</w:t>
      </w:r>
    </w:p>
    <w:p w:rsidR="00CB6A5F" w:rsidRDefault="00CB6A5F">
      <w:pPr>
        <w:pStyle w:val="ConsPlusNormal"/>
        <w:ind w:firstLine="540"/>
        <w:jc w:val="both"/>
      </w:pPr>
      <w:r>
        <w:t>--------------------------------</w:t>
      </w:r>
    </w:p>
    <w:p w:rsidR="00CB6A5F" w:rsidRDefault="00CB6A5F">
      <w:pPr>
        <w:pStyle w:val="ConsPlusNormal"/>
        <w:ind w:firstLine="540"/>
        <w:jc w:val="both"/>
      </w:pPr>
      <w:proofErr w:type="gramStart"/>
      <w:r>
        <w:t xml:space="preserve">&lt;1&gt; Правило 3 главы 11-1 </w:t>
      </w:r>
      <w:hyperlink r:id="rId9" w:history="1">
        <w:r>
          <w:rPr>
            <w:color w:val="0000FF"/>
          </w:rPr>
          <w:t>части "A"</w:t>
        </w:r>
      </w:hyperlink>
      <w:r>
        <w:t xml:space="preserve"> Международной конвенции по охране человеческой жизни на море 1974 года (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июня 2000 г. N 456 "О присоединении Российской Федерации к Протоколу 1988 года к Международной конвенции по охране человеческой жизни на море 1974 года" (Собрание законодательства, 2000, N 26, ст. 2768)).</w:t>
      </w:r>
      <w:proofErr w:type="gramEnd"/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ind w:firstLine="540"/>
        <w:jc w:val="both"/>
      </w:pPr>
      <w:r>
        <w:t>5. Судовладелец при оснащении судна ТСК обеспечивает:</w:t>
      </w:r>
    </w:p>
    <w:p w:rsidR="00CB6A5F" w:rsidRDefault="00CB6A5F">
      <w:pPr>
        <w:pStyle w:val="ConsPlusNormal"/>
        <w:ind w:firstLine="540"/>
        <w:jc w:val="both"/>
      </w:pPr>
      <w:bookmarkStart w:id="2" w:name="P41"/>
      <w:bookmarkEnd w:id="2"/>
      <w:proofErr w:type="gramStart"/>
      <w:r>
        <w:t>а) автоматическое формирование и передачу в РЦМ отраслевой системы мониторинга водных биологических ресурсов, наблюдения и контроля за деятельностью промысловых судов (далее - ОСМ), осуществляющий сбор, обработку, хранение и предоставление данных о местоположении судов, оснащенных ТСК, некорректируемой информации, включающей в себя данные о текущих географических координатах судна, его курсе, скорости (в узлах), дате и универсальном координированном времени (UTC) их определения (далее - рапорт</w:t>
      </w:r>
      <w:proofErr w:type="gramEnd"/>
      <w:r>
        <w:t xml:space="preserve"> о позиции судна), идентификационные данные ТСК, а также информацию о включении питания, смене источника питания, отключении питания, отключении или экранировании антенны, из любых районов Мирового океана, в которых суда осуществляют рыболовство;</w:t>
      </w:r>
    </w:p>
    <w:p w:rsidR="00CB6A5F" w:rsidRDefault="00CB6A5F">
      <w:pPr>
        <w:pStyle w:val="ConsPlusNormal"/>
        <w:ind w:firstLine="540"/>
        <w:jc w:val="both"/>
      </w:pPr>
      <w:r>
        <w:t>б) защиту от несанкционированного доступа путем опломбирования корпусов блоков ТСК с гарантированным препятствованием вскрытию или подключению дополнительных устройств без нарушения пломб, с целью исключения возможности искажения передаваемых данных, указанных в рапорте о позиции судна, изменения идентификаторов и режимов работы ТСК;</w:t>
      </w:r>
    </w:p>
    <w:p w:rsidR="00CB6A5F" w:rsidRDefault="00CB6A5F">
      <w:pPr>
        <w:pStyle w:val="ConsPlusNormal"/>
        <w:ind w:firstLine="540"/>
        <w:jc w:val="both"/>
      </w:pPr>
      <w:r>
        <w:t>в) бесперебойную работу ТСК от двух независимых источников питания (основного и резервного);</w:t>
      </w:r>
    </w:p>
    <w:p w:rsidR="00CB6A5F" w:rsidRDefault="00CB6A5F">
      <w:pPr>
        <w:pStyle w:val="ConsPlusNormal"/>
        <w:ind w:firstLine="540"/>
        <w:jc w:val="both"/>
      </w:pPr>
      <w:r>
        <w:t>г) постоянную мощность передачи сигналов аппаратурой АИС класса A не ниже 10 Вт.</w:t>
      </w:r>
    </w:p>
    <w:p w:rsidR="00CB6A5F" w:rsidRDefault="00CB6A5F">
      <w:pPr>
        <w:pStyle w:val="ConsPlusNormal"/>
        <w:ind w:firstLine="540"/>
        <w:jc w:val="both"/>
      </w:pPr>
      <w:r>
        <w:t>6. РЦМ являются обеспечивающие функционирование ОСМ федеральное государственное бюджетное учреждение "Центр системы мониторинга рыболовства и связи" (далее - ФГБУ "ЦСМС") и его филиалы.</w:t>
      </w:r>
    </w:p>
    <w:p w:rsidR="00CB6A5F" w:rsidRDefault="00CB6A5F">
      <w:pPr>
        <w:pStyle w:val="ConsPlusNormal"/>
        <w:ind w:firstLine="540"/>
        <w:jc w:val="both"/>
      </w:pPr>
      <w:r>
        <w:t xml:space="preserve">7. В целях проверки возможности использования установленного на судне ТСК для определения местоположения судна и автоматической передачи в РЦМ информации, указанной в </w:t>
      </w:r>
      <w:hyperlink w:anchor="P41" w:history="1">
        <w:r>
          <w:rPr>
            <w:color w:val="0000FF"/>
          </w:rPr>
          <w:t>подпункте "а" пункта 5</w:t>
        </w:r>
      </w:hyperlink>
      <w:r>
        <w:t xml:space="preserve"> настоящего Порядка, РЦМ в соответствии с требованиями, установленными настоящим Порядком, проводится тестирование ТСК.</w:t>
      </w:r>
    </w:p>
    <w:p w:rsidR="00CB6A5F" w:rsidRDefault="00CB6A5F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Установку, пуско-наладку, диагностику, ремонт, замену, модернизацию, </w:t>
      </w:r>
      <w:r>
        <w:lastRenderedPageBreak/>
        <w:t>программирование, смену версии (обновление) программного обеспечения, опломбирование и техническое обслуживание ТСК осуществляет юридическое лицо или индивидуальный предприниматель (далее - сервисная организация).</w:t>
      </w:r>
      <w:proofErr w:type="gramEnd"/>
    </w:p>
    <w:p w:rsidR="00CB6A5F" w:rsidRDefault="00CB6A5F">
      <w:pPr>
        <w:pStyle w:val="ConsPlusNormal"/>
        <w:ind w:firstLine="540"/>
        <w:jc w:val="both"/>
      </w:pPr>
      <w:r>
        <w:t xml:space="preserve">9. ТСК признается обеспечивающим автоматическую передачу информации </w:t>
      </w:r>
      <w:proofErr w:type="gramStart"/>
      <w:r>
        <w:t>о местоположении судна при условии одновременного функционирования входящей в его состав аппаратуры в период нахождения судна в эксплуатационном состоянии</w:t>
      </w:r>
      <w:proofErr w:type="gramEnd"/>
      <w:r>
        <w:t>.</w:t>
      </w:r>
    </w:p>
    <w:p w:rsidR="00CB6A5F" w:rsidRDefault="00CB6A5F">
      <w:pPr>
        <w:pStyle w:val="ConsPlusNormal"/>
        <w:ind w:firstLine="540"/>
        <w:jc w:val="both"/>
      </w:pPr>
      <w:r>
        <w:t>10. Судно признается оснащенным ТСК при обеспечении автоматической передачи информации о местоположении судна в период нахождения судна в эксплуатационном состоянии.</w:t>
      </w:r>
    </w:p>
    <w:p w:rsidR="00CB6A5F" w:rsidRDefault="00CB6A5F">
      <w:pPr>
        <w:pStyle w:val="ConsPlusNormal"/>
        <w:ind w:firstLine="540"/>
        <w:jc w:val="both"/>
      </w:pPr>
      <w:r>
        <w:t>Судно признается не оснащенным ТСК при необеспечении автоматической передачи информации о местоположении судна в течение более чем 48 часов с момента прекращения работы ТСК в период нахождения судна в эксплуатационном состоянии.</w:t>
      </w:r>
    </w:p>
    <w:p w:rsidR="00CB6A5F" w:rsidRDefault="00CB6A5F">
      <w:pPr>
        <w:pStyle w:val="ConsPlusNormal"/>
        <w:ind w:firstLine="540"/>
        <w:jc w:val="both"/>
      </w:pPr>
      <w:proofErr w:type="gramStart"/>
      <w:r>
        <w:t>Судно (за исключением судов, ведущих добычу (вылов) краба) приравнивается к оснащенным ТСК в результате восстановления в течение 48 часов работоспособности ТСК в случае однократного прекращения его работы в течение всего периода нахождения судна в эксплуатационном состоянии при условии передачи сообщений о текущих позициях судна на 00:00, 02:00, 04:00, 06:00, 08:00, 10:00, 12:00, 14</w:t>
      </w:r>
      <w:proofErr w:type="gramEnd"/>
      <w:r>
        <w:t>:00, 16:00, 18:00, 20:00, 22:00 универсального координированного времени (UTC) с помощью спутниковых сре</w:t>
      </w:r>
      <w:proofErr w:type="gramStart"/>
      <w:r>
        <w:t>дств св</w:t>
      </w:r>
      <w:proofErr w:type="gramEnd"/>
      <w:r>
        <w:t>язи или радиосвязи, а также получения от РЦМ подтверждения поступления данных о местоположении судна и направлении капитаном судна в территориальный орган Росрыболовства и в РЦМ уведомления о возобновлении добычи (вылова) водных биологических ресурсов.</w:t>
      </w:r>
    </w:p>
    <w:p w:rsidR="00CB6A5F" w:rsidRDefault="00CB6A5F">
      <w:pPr>
        <w:pStyle w:val="ConsPlusNormal"/>
        <w:ind w:firstLine="540"/>
        <w:jc w:val="both"/>
      </w:pPr>
      <w:r>
        <w:t xml:space="preserve">Допускается оснащение судов, осуществляющих рыболовство, дублирующим ТСК, прошедшим процедуру тестирования. </w:t>
      </w:r>
      <w:proofErr w:type="gramStart"/>
      <w:r>
        <w:t>Дублирующий</w:t>
      </w:r>
      <w:proofErr w:type="gramEnd"/>
      <w:r>
        <w:t xml:space="preserve"> ТСК включается в случае выхода из строя основного ТСК.</w:t>
      </w:r>
    </w:p>
    <w:p w:rsidR="00CB6A5F" w:rsidRDefault="00CB6A5F">
      <w:pPr>
        <w:pStyle w:val="ConsPlusNormal"/>
        <w:ind w:firstLine="540"/>
        <w:jc w:val="both"/>
      </w:pPr>
      <w:r>
        <w:t>В случае прекращения работы ТСК судно прекращает добычу (вылов) водных биологических ресурсов, капитан судна докладывает в территориальный орган Росрыболовства и РЦМ о прекращении добычи (вылова) водных биологических ресурсов, причинах неисправности ТСК и сроках ее устранения или о включении дублирующего ТСК.</w:t>
      </w:r>
    </w:p>
    <w:p w:rsidR="00CB6A5F" w:rsidRDefault="00CB6A5F">
      <w:pPr>
        <w:pStyle w:val="ConsPlusNormal"/>
        <w:ind w:firstLine="540"/>
        <w:jc w:val="both"/>
      </w:pPr>
      <w:r>
        <w:t xml:space="preserve">В случае включения дублирующего ТСК капитан судна запрашивает подтверждение РЦМ о поступлении данных о местоположении судна, после </w:t>
      </w:r>
      <w:proofErr w:type="gramStart"/>
      <w:r>
        <w:t>получения</w:t>
      </w:r>
      <w:proofErr w:type="gramEnd"/>
      <w:r>
        <w:t xml:space="preserve"> которого направляет в территориальное управление Росрыболовства и в РЦМ уведомление о возобновлении добычи (вылова) водных биологических ресурсов.</w:t>
      </w:r>
    </w:p>
    <w:p w:rsidR="00CB6A5F" w:rsidRDefault="00CB6A5F">
      <w:pPr>
        <w:pStyle w:val="ConsPlusNormal"/>
        <w:ind w:firstLine="540"/>
        <w:jc w:val="both"/>
      </w:pPr>
      <w:r>
        <w:t>11. В целях обеспечения передачи данных СЗС, используемая в ТСК, должна быть определена в соответствующей системе спутниковой связи операторами систем.</w:t>
      </w:r>
    </w:p>
    <w:p w:rsidR="00CB6A5F" w:rsidRDefault="00CB6A5F">
      <w:pPr>
        <w:pStyle w:val="ConsPlusNormal"/>
        <w:ind w:firstLine="540"/>
        <w:jc w:val="both"/>
      </w:pPr>
      <w:r>
        <w:t>12. Запрещается использование ТСК, которое одновременно выполняет функции судовой системы охранного оповещения (ССОО).</w:t>
      </w:r>
    </w:p>
    <w:p w:rsidR="00CB6A5F" w:rsidRDefault="00CB6A5F">
      <w:pPr>
        <w:pStyle w:val="ConsPlusNormal"/>
        <w:ind w:firstLine="540"/>
        <w:jc w:val="both"/>
      </w:pPr>
      <w:r>
        <w:t xml:space="preserve">13. ТСК судов состоят из СЗС из перечня, указанного в </w:t>
      </w:r>
      <w:hyperlink w:anchor="P124" w:history="1">
        <w:r>
          <w:rPr>
            <w:color w:val="0000FF"/>
          </w:rPr>
          <w:t>приложении N 1</w:t>
        </w:r>
      </w:hyperlink>
      <w:r>
        <w:t xml:space="preserve"> к настоящему Порядку, и аппаратуры АИС, указанной в </w:t>
      </w:r>
      <w:hyperlink w:anchor="P156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CB6A5F" w:rsidRDefault="00CB6A5F">
      <w:pPr>
        <w:pStyle w:val="ConsPlusNormal"/>
        <w:ind w:firstLine="540"/>
        <w:jc w:val="both"/>
      </w:pPr>
      <w:r>
        <w:t>14. В случае выявления контролирующими органами фактов преднамеренного искажения данных о местоположении судна оборудование к применению в качестве ТСК не допускается.</w:t>
      </w:r>
    </w:p>
    <w:p w:rsidR="00CB6A5F" w:rsidRDefault="00CB6A5F">
      <w:pPr>
        <w:pStyle w:val="ConsPlusNormal"/>
        <w:ind w:firstLine="540"/>
        <w:jc w:val="both"/>
      </w:pPr>
      <w:bookmarkStart w:id="3" w:name="P59"/>
      <w:bookmarkEnd w:id="3"/>
      <w:r>
        <w:t xml:space="preserve">15. Тестирование ТСК проводится на основании подаваемой в </w:t>
      </w:r>
      <w:proofErr w:type="gramStart"/>
      <w:r>
        <w:t>соответствующий</w:t>
      </w:r>
      <w:proofErr w:type="gramEnd"/>
      <w:r>
        <w:t xml:space="preserve"> РЦМ судовладельцем Заявки, содержащей следующие данные:</w:t>
      </w:r>
    </w:p>
    <w:p w:rsidR="00CB6A5F" w:rsidRDefault="00CB6A5F">
      <w:pPr>
        <w:pStyle w:val="ConsPlusNormal"/>
        <w:ind w:firstLine="540"/>
        <w:jc w:val="both"/>
      </w:pPr>
      <w:r>
        <w:t>а) об оборудовании:</w:t>
      </w:r>
    </w:p>
    <w:p w:rsidR="00CB6A5F" w:rsidRDefault="00CB6A5F">
      <w:pPr>
        <w:pStyle w:val="ConsPlusNormal"/>
        <w:ind w:firstLine="540"/>
        <w:jc w:val="both"/>
      </w:pPr>
      <w:r>
        <w:t>- наименование оборудования ТСК;</w:t>
      </w:r>
    </w:p>
    <w:p w:rsidR="00CB6A5F" w:rsidRDefault="00CB6A5F">
      <w:pPr>
        <w:pStyle w:val="ConsPlusNormal"/>
        <w:ind w:firstLine="540"/>
        <w:jc w:val="both"/>
      </w:pPr>
      <w:r>
        <w:t>- изготовители оборудования ТСК;</w:t>
      </w:r>
    </w:p>
    <w:p w:rsidR="00CB6A5F" w:rsidRDefault="00CB6A5F">
      <w:pPr>
        <w:pStyle w:val="ConsPlusNormal"/>
        <w:ind w:firstLine="540"/>
        <w:jc w:val="both"/>
      </w:pPr>
      <w:r>
        <w:t>- тип СЗС;</w:t>
      </w:r>
    </w:p>
    <w:p w:rsidR="00CB6A5F" w:rsidRDefault="00CB6A5F">
      <w:pPr>
        <w:pStyle w:val="ConsPlusNormal"/>
        <w:ind w:firstLine="540"/>
        <w:jc w:val="both"/>
      </w:pPr>
      <w:r>
        <w:t>- идентификационные номера оборудования ТСК;</w:t>
      </w:r>
    </w:p>
    <w:p w:rsidR="00CB6A5F" w:rsidRDefault="00CB6A5F">
      <w:pPr>
        <w:pStyle w:val="ConsPlusNormal"/>
        <w:ind w:firstLine="540"/>
        <w:jc w:val="both"/>
      </w:pPr>
      <w:r>
        <w:t>- серийные номера оборудования ТСК;</w:t>
      </w:r>
    </w:p>
    <w:p w:rsidR="00CB6A5F" w:rsidRDefault="00CB6A5F">
      <w:pPr>
        <w:pStyle w:val="ConsPlusNormal"/>
        <w:ind w:firstLine="540"/>
        <w:jc w:val="both"/>
      </w:pPr>
      <w:r>
        <w:t>- океанические регионы зоны обслуживания спутниковой системы связи, в которых предполагается эксплуатация ТСК (только в случае использования в ТСК СЗС системы связи "</w:t>
      </w:r>
      <w:proofErr w:type="spellStart"/>
      <w:r>
        <w:t>Инмарсат</w:t>
      </w:r>
      <w:proofErr w:type="spellEnd"/>
      <w:r>
        <w:t>").</w:t>
      </w:r>
    </w:p>
    <w:p w:rsidR="00CB6A5F" w:rsidRDefault="00CB6A5F">
      <w:pPr>
        <w:pStyle w:val="ConsPlusNormal"/>
        <w:ind w:firstLine="540"/>
        <w:jc w:val="both"/>
      </w:pPr>
      <w:r>
        <w:t>б) данные о судне, судовладельце и (или) собственнике судна:</w:t>
      </w:r>
    </w:p>
    <w:p w:rsidR="00CB6A5F" w:rsidRDefault="00CB6A5F">
      <w:pPr>
        <w:pStyle w:val="ConsPlusNormal"/>
        <w:ind w:firstLine="540"/>
        <w:jc w:val="both"/>
      </w:pPr>
      <w:r>
        <w:t>- контактная информация судовладельца (почтовый адрес, адрес электронной почты, телефон, факс, телекс);</w:t>
      </w:r>
    </w:p>
    <w:p w:rsidR="00CB6A5F" w:rsidRDefault="00CB6A5F">
      <w:pPr>
        <w:pStyle w:val="ConsPlusNormal"/>
        <w:ind w:firstLine="540"/>
        <w:jc w:val="both"/>
      </w:pPr>
      <w:r>
        <w:lastRenderedPageBreak/>
        <w:t>- наименование судовладельца, его адрес местонахождения (для юридических лиц);</w:t>
      </w:r>
    </w:p>
    <w:p w:rsidR="00CB6A5F" w:rsidRDefault="00CB6A5F">
      <w:pPr>
        <w:pStyle w:val="ConsPlusNormal"/>
        <w:ind w:firstLine="540"/>
        <w:jc w:val="both"/>
      </w:pPr>
      <w:r>
        <w:t xml:space="preserve">- фамилия, имя, отчество, место жительства (для </w:t>
      </w:r>
      <w:proofErr w:type="gramStart"/>
      <w:r>
        <w:t>индивидуальных</w:t>
      </w:r>
      <w:proofErr w:type="gramEnd"/>
      <w:r>
        <w:t xml:space="preserve"> предпринимателей);</w:t>
      </w:r>
    </w:p>
    <w:p w:rsidR="00CB6A5F" w:rsidRDefault="00CB6A5F">
      <w:pPr>
        <w:pStyle w:val="ConsPlusNormal"/>
        <w:ind w:firstLine="540"/>
        <w:jc w:val="both"/>
      </w:pPr>
      <w:r>
        <w:t>- наименование собственника судна, его адрес местонахождения для юридических лиц или фамилия, имя, отчество и место жительства собственника судна для индивидуальных предпринимателей (в случае, если собственник судна не является судовладельцем);</w:t>
      </w:r>
    </w:p>
    <w:p w:rsidR="00CB6A5F" w:rsidRDefault="00CB6A5F">
      <w:pPr>
        <w:pStyle w:val="ConsPlusNormal"/>
        <w:ind w:firstLine="540"/>
        <w:jc w:val="both"/>
      </w:pPr>
      <w:r>
        <w:t>- идентификационный номер налогоплательщика (ИНН) судовладельца;</w:t>
      </w:r>
    </w:p>
    <w:p w:rsidR="00CB6A5F" w:rsidRDefault="00CB6A5F">
      <w:pPr>
        <w:pStyle w:val="ConsPlusNormal"/>
        <w:ind w:firstLine="540"/>
        <w:jc w:val="both"/>
      </w:pPr>
      <w:r>
        <w:t>- название судна;</w:t>
      </w:r>
    </w:p>
    <w:p w:rsidR="00CB6A5F" w:rsidRDefault="00CB6A5F">
      <w:pPr>
        <w:pStyle w:val="ConsPlusNormal"/>
        <w:ind w:firstLine="540"/>
        <w:jc w:val="both"/>
      </w:pPr>
      <w:r>
        <w:t>- номер Международной морской организации (ИМО) судна;</w:t>
      </w:r>
    </w:p>
    <w:p w:rsidR="00CB6A5F" w:rsidRDefault="00CB6A5F">
      <w:pPr>
        <w:pStyle w:val="ConsPlusNormal"/>
        <w:ind w:firstLine="540"/>
        <w:jc w:val="both"/>
      </w:pPr>
      <w:r>
        <w:t>- номер MMSI судна (идентификационный номер морской подвижной службы);</w:t>
      </w:r>
    </w:p>
    <w:p w:rsidR="00CB6A5F" w:rsidRDefault="00CB6A5F">
      <w:pPr>
        <w:pStyle w:val="ConsPlusNormal"/>
        <w:ind w:firstLine="540"/>
        <w:jc w:val="both"/>
      </w:pPr>
      <w:r>
        <w:t>- назначение судна;</w:t>
      </w:r>
    </w:p>
    <w:p w:rsidR="00CB6A5F" w:rsidRDefault="00CB6A5F">
      <w:pPr>
        <w:pStyle w:val="ConsPlusNormal"/>
        <w:ind w:firstLine="540"/>
        <w:jc w:val="both"/>
      </w:pPr>
      <w:r>
        <w:t>- технические характеристики судна (максимальная скорость, численность экипажа);</w:t>
      </w:r>
    </w:p>
    <w:p w:rsidR="00CB6A5F" w:rsidRDefault="00CB6A5F">
      <w:pPr>
        <w:pStyle w:val="ConsPlusNormal"/>
        <w:ind w:firstLine="540"/>
        <w:jc w:val="both"/>
      </w:pPr>
      <w:r>
        <w:t xml:space="preserve">- условия радио и спутниковой связи (телеграфный и телефонный </w:t>
      </w:r>
      <w:proofErr w:type="spellStart"/>
      <w:r>
        <w:t>радиопозывной</w:t>
      </w:r>
      <w:proofErr w:type="spellEnd"/>
      <w:r>
        <w:t>, вызывные и рабочие частоты цифрового избирательного вызова);</w:t>
      </w:r>
    </w:p>
    <w:p w:rsidR="00CB6A5F" w:rsidRDefault="00CB6A5F">
      <w:pPr>
        <w:pStyle w:val="ConsPlusNormal"/>
        <w:ind w:firstLine="540"/>
        <w:jc w:val="both"/>
      </w:pPr>
      <w:r>
        <w:t>- телефонный сигнал, вызывные частоты цифрового избирательного вызова, рабочие каналы радиотелефона.</w:t>
      </w:r>
    </w:p>
    <w:p w:rsidR="00CB6A5F" w:rsidRDefault="00CB6A5F">
      <w:pPr>
        <w:pStyle w:val="ConsPlusNormal"/>
        <w:ind w:firstLine="540"/>
        <w:jc w:val="both"/>
      </w:pPr>
      <w:bookmarkStart w:id="4" w:name="P80"/>
      <w:bookmarkEnd w:id="4"/>
      <w:r>
        <w:t>16. Заявка подается судовладельцем непосредственно в РЦП или посредством почтового отправления, факса, электронной почты с приложением копий следующих документов:</w:t>
      </w:r>
    </w:p>
    <w:p w:rsidR="00CB6A5F" w:rsidRDefault="00CB6A5F">
      <w:pPr>
        <w:pStyle w:val="ConsPlusNormal"/>
        <w:ind w:firstLine="540"/>
        <w:jc w:val="both"/>
      </w:pPr>
      <w:r>
        <w:t>а) свидетельства о праве собственности на судно;</w:t>
      </w:r>
    </w:p>
    <w:p w:rsidR="00CB6A5F" w:rsidRDefault="00CB6A5F">
      <w:pPr>
        <w:pStyle w:val="ConsPlusNormal"/>
        <w:ind w:firstLine="540"/>
        <w:jc w:val="both"/>
      </w:pPr>
      <w:bookmarkStart w:id="5" w:name="P82"/>
      <w:bookmarkEnd w:id="5"/>
      <w:r>
        <w:t>б) акта сервисной организации, подтверждающего выполнение работ по установке на судне ТСК, проверке его работоспособности, состава и целостности оборудования, опломбировки и отсутствия нарушений элементов ТСК.</w:t>
      </w:r>
    </w:p>
    <w:p w:rsidR="00CB6A5F" w:rsidRDefault="00CB6A5F">
      <w:pPr>
        <w:pStyle w:val="ConsPlusNormal"/>
        <w:ind w:firstLine="540"/>
        <w:jc w:val="both"/>
      </w:pPr>
      <w:bookmarkStart w:id="6" w:name="P83"/>
      <w:bookmarkEnd w:id="6"/>
      <w:r>
        <w:t>17. При смене судовладельца по договору фрахтования судна без экипажа (</w:t>
      </w:r>
      <w:proofErr w:type="spellStart"/>
      <w:r>
        <w:t>бербоут</w:t>
      </w:r>
      <w:proofErr w:type="spellEnd"/>
      <w:r>
        <w:t xml:space="preserve">-чартер) в случае наличия на борту судна ТСК, за исключением случая, предусмотренного </w:t>
      </w:r>
      <w:hyperlink w:anchor="P111" w:history="1">
        <w:r>
          <w:rPr>
            <w:color w:val="0000FF"/>
          </w:rPr>
          <w:t>пунктом 24</w:t>
        </w:r>
      </w:hyperlink>
      <w:r>
        <w:t xml:space="preserve"> настоящего Порядка, к Заявке прилагаются документы, указанные в </w:t>
      </w:r>
      <w:hyperlink w:anchor="P82" w:history="1">
        <w:r>
          <w:rPr>
            <w:color w:val="0000FF"/>
          </w:rPr>
          <w:t>подпункте "б" пункта 16</w:t>
        </w:r>
      </w:hyperlink>
      <w:r>
        <w:t xml:space="preserve"> настоящего Порядка, а также копия договора фрахтования судна без экипажа (</w:t>
      </w:r>
      <w:proofErr w:type="spellStart"/>
      <w:r>
        <w:t>бербоут</w:t>
      </w:r>
      <w:proofErr w:type="spellEnd"/>
      <w:r>
        <w:t>-чартер).</w:t>
      </w:r>
    </w:p>
    <w:p w:rsidR="00CB6A5F" w:rsidRDefault="00CB6A5F">
      <w:pPr>
        <w:pStyle w:val="ConsPlusNormal"/>
        <w:ind w:firstLine="540"/>
        <w:jc w:val="both"/>
      </w:pPr>
      <w:r>
        <w:t>18. Тестирование ТСК осуществляется на основании поданной Заявки в срок от двух до десяти суток. С момента подачи Заявки ТСК должно находиться во включенном состоянии до момента прекращения тестирования ТСК. При положительных результатах тестирования ТСК выдается Свидетельство соответствия ТСК (далее - Свидетельство).</w:t>
      </w:r>
    </w:p>
    <w:p w:rsidR="00CB6A5F" w:rsidRDefault="00CB6A5F">
      <w:pPr>
        <w:pStyle w:val="ConsPlusNormal"/>
        <w:ind w:firstLine="540"/>
        <w:jc w:val="both"/>
      </w:pPr>
      <w:r>
        <w:t>19. Уведомление судовладельца об отрицательном результате тестирования осуществляется в случаях:</w:t>
      </w:r>
    </w:p>
    <w:p w:rsidR="00CB6A5F" w:rsidRDefault="00CB6A5F">
      <w:pPr>
        <w:pStyle w:val="ConsPlusNormal"/>
        <w:ind w:firstLine="540"/>
        <w:jc w:val="both"/>
      </w:pPr>
      <w:r>
        <w:t xml:space="preserve">а) несоответствия Заявки требованиям, установленным </w:t>
      </w:r>
      <w:hyperlink w:anchor="P59" w:history="1">
        <w:r>
          <w:rPr>
            <w:color w:val="0000FF"/>
          </w:rPr>
          <w:t>пунктом 15</w:t>
        </w:r>
      </w:hyperlink>
      <w:r>
        <w:t xml:space="preserve"> настоящего Порядка;</w:t>
      </w:r>
    </w:p>
    <w:p w:rsidR="00CB6A5F" w:rsidRDefault="00CB6A5F">
      <w:pPr>
        <w:pStyle w:val="ConsPlusNormal"/>
        <w:ind w:firstLine="540"/>
        <w:jc w:val="both"/>
      </w:pPr>
      <w:r>
        <w:t xml:space="preserve">б) непредставления документов, предусмотренных </w:t>
      </w:r>
      <w:hyperlink w:anchor="P80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83" w:history="1">
        <w:r>
          <w:rPr>
            <w:color w:val="0000FF"/>
          </w:rPr>
          <w:t>17</w:t>
        </w:r>
      </w:hyperlink>
      <w:r>
        <w:t xml:space="preserve"> настоящего Порядка;</w:t>
      </w:r>
    </w:p>
    <w:p w:rsidR="00CB6A5F" w:rsidRDefault="00CB6A5F">
      <w:pPr>
        <w:pStyle w:val="ConsPlusNormal"/>
        <w:ind w:firstLine="540"/>
        <w:jc w:val="both"/>
      </w:pPr>
      <w:r>
        <w:t>в) несоответствия ТСК требованиям, установленным настоящим Порядком;</w:t>
      </w:r>
    </w:p>
    <w:p w:rsidR="00CB6A5F" w:rsidRDefault="00CB6A5F">
      <w:pPr>
        <w:pStyle w:val="ConsPlusNormal"/>
        <w:ind w:firstLine="540"/>
        <w:jc w:val="both"/>
      </w:pPr>
      <w:r>
        <w:t>г) отсутствия поступающей в автоматическом режиме от ТСК информации о местоположении судна в течение двух суток с момента подачи Заявки.</w:t>
      </w:r>
    </w:p>
    <w:p w:rsidR="00CB6A5F" w:rsidRDefault="00CB6A5F">
      <w:pPr>
        <w:pStyle w:val="ConsPlusNormal"/>
        <w:ind w:firstLine="540"/>
        <w:jc w:val="both"/>
      </w:pPr>
      <w:r>
        <w:t xml:space="preserve">20. </w:t>
      </w:r>
      <w:proofErr w:type="gramStart"/>
      <w:r>
        <w:t>РЦМ направляет по почте оригинал Свидетельства судовладельцу в течение трех рабочих дней с даты окончания тестирования ТСК или выдает указанный документ судовладельцу или его полномочному представителю, если судовладельцем об этом указано в Заявке, и вносит в ОСМ информацию об установленном на судне ТСК, а также данные о судне, его собственнике, судовладельце и выданном Свидетельстве.</w:t>
      </w:r>
      <w:proofErr w:type="gramEnd"/>
    </w:p>
    <w:p w:rsidR="00CB6A5F" w:rsidRDefault="00CB6A5F">
      <w:pPr>
        <w:pStyle w:val="ConsPlusNormal"/>
        <w:ind w:firstLine="540"/>
        <w:jc w:val="both"/>
      </w:pPr>
      <w:r>
        <w:t>Дата окончания срока действия Свидетельства - 31 декабря года, следующего за годом выдачи Свидетельства.</w:t>
      </w:r>
    </w:p>
    <w:p w:rsidR="00CB6A5F" w:rsidRDefault="00CB6A5F">
      <w:pPr>
        <w:pStyle w:val="ConsPlusNormal"/>
        <w:ind w:firstLine="540"/>
        <w:jc w:val="both"/>
      </w:pPr>
      <w:r>
        <w:t>21. Свидетельство должно содержать на русском и английском языках следующие данные:</w:t>
      </w:r>
    </w:p>
    <w:p w:rsidR="00CB6A5F" w:rsidRDefault="00CB6A5F">
      <w:pPr>
        <w:pStyle w:val="ConsPlusNormal"/>
        <w:ind w:firstLine="540"/>
        <w:jc w:val="both"/>
      </w:pPr>
      <w:r>
        <w:t>- наименование оборудования;</w:t>
      </w:r>
    </w:p>
    <w:p w:rsidR="00CB6A5F" w:rsidRDefault="00CB6A5F">
      <w:pPr>
        <w:pStyle w:val="ConsPlusNormal"/>
        <w:ind w:firstLine="540"/>
        <w:jc w:val="both"/>
      </w:pPr>
      <w:r>
        <w:t>- тип оборудования;</w:t>
      </w:r>
    </w:p>
    <w:p w:rsidR="00CB6A5F" w:rsidRDefault="00CB6A5F">
      <w:pPr>
        <w:pStyle w:val="ConsPlusNormal"/>
        <w:ind w:firstLine="540"/>
        <w:jc w:val="both"/>
      </w:pPr>
      <w:r>
        <w:t>- идентификационные номера оборудования;</w:t>
      </w:r>
    </w:p>
    <w:p w:rsidR="00CB6A5F" w:rsidRDefault="00CB6A5F">
      <w:pPr>
        <w:pStyle w:val="ConsPlusNormal"/>
        <w:ind w:firstLine="540"/>
        <w:jc w:val="both"/>
      </w:pPr>
      <w:r>
        <w:t>- наименование изготовителей оборудования;</w:t>
      </w:r>
    </w:p>
    <w:p w:rsidR="00CB6A5F" w:rsidRDefault="00CB6A5F">
      <w:pPr>
        <w:pStyle w:val="ConsPlusNormal"/>
        <w:ind w:firstLine="540"/>
        <w:jc w:val="both"/>
      </w:pPr>
      <w:r>
        <w:t>- серийные номера оборудования;</w:t>
      </w:r>
    </w:p>
    <w:p w:rsidR="00CB6A5F" w:rsidRDefault="00CB6A5F">
      <w:pPr>
        <w:pStyle w:val="ConsPlusNormal"/>
        <w:ind w:firstLine="540"/>
        <w:jc w:val="both"/>
      </w:pPr>
      <w:r>
        <w:t>- наименование (Ф.И.О.) судовладельца;</w:t>
      </w:r>
    </w:p>
    <w:p w:rsidR="00CB6A5F" w:rsidRDefault="00CB6A5F">
      <w:pPr>
        <w:pStyle w:val="ConsPlusNormal"/>
        <w:ind w:firstLine="540"/>
        <w:jc w:val="both"/>
      </w:pPr>
      <w:r>
        <w:t>- наименование (Ф.И.О.) собственника судна;</w:t>
      </w:r>
    </w:p>
    <w:p w:rsidR="00CB6A5F" w:rsidRDefault="00CB6A5F">
      <w:pPr>
        <w:pStyle w:val="ConsPlusNormal"/>
        <w:ind w:firstLine="540"/>
        <w:jc w:val="both"/>
      </w:pPr>
      <w:r>
        <w:t>- название судна;</w:t>
      </w:r>
    </w:p>
    <w:p w:rsidR="00CB6A5F" w:rsidRDefault="00CB6A5F">
      <w:pPr>
        <w:pStyle w:val="ConsPlusNormal"/>
        <w:ind w:firstLine="540"/>
        <w:jc w:val="both"/>
      </w:pPr>
      <w:r>
        <w:t>- номер Международной морской организации (ИМО) судна;</w:t>
      </w:r>
    </w:p>
    <w:p w:rsidR="00CB6A5F" w:rsidRDefault="00CB6A5F">
      <w:pPr>
        <w:pStyle w:val="ConsPlusNormal"/>
        <w:ind w:firstLine="540"/>
        <w:jc w:val="both"/>
      </w:pPr>
      <w:r>
        <w:t xml:space="preserve">- отчет о результатах тестирования ТСК и соответствии оборудования требованиям, </w:t>
      </w:r>
      <w:r>
        <w:lastRenderedPageBreak/>
        <w:t>установленным настоящим Порядком;</w:t>
      </w:r>
    </w:p>
    <w:p w:rsidR="00CB6A5F" w:rsidRDefault="00CB6A5F">
      <w:pPr>
        <w:pStyle w:val="ConsPlusNormal"/>
        <w:ind w:firstLine="540"/>
        <w:jc w:val="both"/>
      </w:pPr>
      <w:r>
        <w:t>- срок действия и дату выдачи, подпись руководителя и печать РЦМ.</w:t>
      </w:r>
    </w:p>
    <w:p w:rsidR="00CB6A5F" w:rsidRDefault="00CB6A5F">
      <w:pPr>
        <w:pStyle w:val="ConsPlusNormal"/>
        <w:ind w:firstLine="540"/>
        <w:jc w:val="both"/>
      </w:pPr>
      <w:r>
        <w:t xml:space="preserve">22. Капитан судна обязан не </w:t>
      </w:r>
      <w:proofErr w:type="gramStart"/>
      <w:r>
        <w:t>позднее</w:t>
      </w:r>
      <w:proofErr w:type="gramEnd"/>
      <w:r>
        <w:t xml:space="preserve"> чем за 72 часа до перевода судна в эксплуатационное состояние с помощью ТСК, радио, телефакса или телекса передавать в РЦМ уведомление о включении ТСК и вводе судна в эксплуатационное состояние.</w:t>
      </w:r>
    </w:p>
    <w:p w:rsidR="00CB6A5F" w:rsidRDefault="00CB6A5F">
      <w:pPr>
        <w:pStyle w:val="ConsPlusNormal"/>
        <w:ind w:firstLine="540"/>
        <w:jc w:val="both"/>
      </w:pPr>
      <w:r>
        <w:t xml:space="preserve">23. В случае проведения ремонта ТСК, модернизации ТСК до истечения срока действия Свидетельства, судовладельцу необходимо переоформить Свидетельство, направив Заявку в </w:t>
      </w:r>
      <w:proofErr w:type="gramStart"/>
      <w:r>
        <w:t>соответствующий</w:t>
      </w:r>
      <w:proofErr w:type="gramEnd"/>
      <w:r>
        <w:t xml:space="preserve"> РЦМ с приложением копии акта, указанного в </w:t>
      </w:r>
      <w:hyperlink w:anchor="P82" w:history="1">
        <w:r>
          <w:rPr>
            <w:color w:val="0000FF"/>
          </w:rPr>
          <w:t>подпункте "б" пункта 16</w:t>
        </w:r>
      </w:hyperlink>
      <w:r>
        <w:t xml:space="preserve"> настоящего Порядка.</w:t>
      </w:r>
    </w:p>
    <w:p w:rsidR="00CB6A5F" w:rsidRDefault="00CB6A5F">
      <w:pPr>
        <w:pStyle w:val="ConsPlusNormal"/>
        <w:ind w:firstLine="540"/>
        <w:jc w:val="both"/>
      </w:pPr>
      <w:r>
        <w:t xml:space="preserve">В Заявке указываются причины проведения тестирования ТСК, контактная информация судовладельца: для индивидуальных предпринимателей (фамилия, имя, отчество, место жительства), для юридических лиц (наименование и адрес места нахождения), ИНН судовладельца, а также информация </w:t>
      </w:r>
      <w:proofErr w:type="gramStart"/>
      <w:r>
        <w:t>об</w:t>
      </w:r>
      <w:proofErr w:type="gramEnd"/>
      <w:r>
        <w:t xml:space="preserve"> установленном на судне ТСК:</w:t>
      </w:r>
    </w:p>
    <w:p w:rsidR="00CB6A5F" w:rsidRDefault="00CB6A5F">
      <w:pPr>
        <w:pStyle w:val="ConsPlusNormal"/>
        <w:ind w:firstLine="540"/>
        <w:jc w:val="both"/>
      </w:pPr>
      <w:r>
        <w:t>- наименование и изготовитель оборудования ТСК;</w:t>
      </w:r>
    </w:p>
    <w:p w:rsidR="00CB6A5F" w:rsidRDefault="00CB6A5F">
      <w:pPr>
        <w:pStyle w:val="ConsPlusNormal"/>
        <w:ind w:firstLine="540"/>
        <w:jc w:val="both"/>
      </w:pPr>
      <w:r>
        <w:t>- тип СЗС;</w:t>
      </w:r>
    </w:p>
    <w:p w:rsidR="00CB6A5F" w:rsidRDefault="00CB6A5F">
      <w:pPr>
        <w:pStyle w:val="ConsPlusNormal"/>
        <w:ind w:firstLine="540"/>
        <w:jc w:val="both"/>
      </w:pPr>
      <w:r>
        <w:t>- идентификационные и серийные номера СЗС и АИС;</w:t>
      </w:r>
    </w:p>
    <w:p w:rsidR="00CB6A5F" w:rsidRDefault="00CB6A5F">
      <w:pPr>
        <w:pStyle w:val="ConsPlusNormal"/>
        <w:ind w:firstLine="540"/>
        <w:jc w:val="both"/>
      </w:pPr>
      <w:r>
        <w:t>- океанические регионы зоны обслуживания спутниковой системы связи, в которых предполагается эксплуатация ТСК (только для СЗС системы связи "</w:t>
      </w:r>
      <w:proofErr w:type="spellStart"/>
      <w:r>
        <w:t>Инмарсат</w:t>
      </w:r>
      <w:proofErr w:type="spellEnd"/>
      <w:r>
        <w:t>").</w:t>
      </w:r>
    </w:p>
    <w:p w:rsidR="00CB6A5F" w:rsidRDefault="00CB6A5F">
      <w:pPr>
        <w:pStyle w:val="ConsPlusNormal"/>
        <w:ind w:firstLine="540"/>
        <w:jc w:val="both"/>
      </w:pPr>
      <w:bookmarkStart w:id="7" w:name="P111"/>
      <w:bookmarkEnd w:id="7"/>
      <w:r>
        <w:t xml:space="preserve">24. При смене судовладельца, в случае наличия на борту судна ТСК, срок </w:t>
      </w:r>
      <w:proofErr w:type="gramStart"/>
      <w:r>
        <w:t>действия</w:t>
      </w:r>
      <w:proofErr w:type="gramEnd"/>
      <w:r>
        <w:t xml:space="preserve"> Свидетельства которого не истек, судовладелец обязан обратиться в РЦМ с Заявкой на переоформление Свидетельства.</w:t>
      </w:r>
    </w:p>
    <w:p w:rsidR="00CB6A5F" w:rsidRDefault="00CB6A5F">
      <w:pPr>
        <w:pStyle w:val="ConsPlusNormal"/>
        <w:ind w:firstLine="540"/>
        <w:jc w:val="both"/>
      </w:pPr>
      <w:r>
        <w:t>К Заявке на переоформление Свидетельства прилагается копия документа, подтверждающего право собственности (право владения, и (или) пользования, и (или) распоряжения) на судно.</w:t>
      </w:r>
    </w:p>
    <w:p w:rsidR="00CB6A5F" w:rsidRDefault="00CB6A5F">
      <w:pPr>
        <w:pStyle w:val="ConsPlusNormal"/>
        <w:ind w:firstLine="540"/>
        <w:jc w:val="both"/>
      </w:pPr>
      <w:r>
        <w:t xml:space="preserve">Тестирование ТСК в этом случае не проводится. Переоформление и выдача Свидетельства осуществляются РЦМ в течение одного рабочего дня </w:t>
      </w:r>
      <w:proofErr w:type="gramStart"/>
      <w:r>
        <w:t>с даты поступления</w:t>
      </w:r>
      <w:proofErr w:type="gramEnd"/>
      <w:r>
        <w:t xml:space="preserve"> Заявки. Свидетельство, выданное на имя прежнего судовладельца, аннулируется.</w:t>
      </w: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jc w:val="right"/>
      </w:pPr>
      <w:r>
        <w:t>Приложение N 1</w:t>
      </w:r>
    </w:p>
    <w:p w:rsidR="00CB6A5F" w:rsidRDefault="00CB6A5F">
      <w:pPr>
        <w:pStyle w:val="ConsPlusNormal"/>
        <w:jc w:val="right"/>
      </w:pPr>
      <w:r>
        <w:t>к Порядку оснащения судов</w:t>
      </w:r>
    </w:p>
    <w:p w:rsidR="00CB6A5F" w:rsidRDefault="00CB6A5F">
      <w:pPr>
        <w:pStyle w:val="ConsPlusNormal"/>
        <w:jc w:val="right"/>
      </w:pPr>
      <w:r>
        <w:t>техническими средствами</w:t>
      </w:r>
    </w:p>
    <w:p w:rsidR="00CB6A5F" w:rsidRDefault="00CB6A5F">
      <w:pPr>
        <w:pStyle w:val="ConsPlusNormal"/>
        <w:jc w:val="right"/>
      </w:pPr>
      <w:r>
        <w:t>контроля и их виды</w:t>
      </w: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jc w:val="center"/>
      </w:pPr>
      <w:bookmarkStart w:id="8" w:name="P124"/>
      <w:bookmarkEnd w:id="8"/>
      <w:r>
        <w:t>ПЕРЕЧЕНЬ</w:t>
      </w:r>
    </w:p>
    <w:p w:rsidR="00CB6A5F" w:rsidRDefault="00CB6A5F">
      <w:pPr>
        <w:pStyle w:val="ConsPlusNormal"/>
        <w:jc w:val="center"/>
      </w:pPr>
      <w:r>
        <w:t>СЗС, ДОПУСКАЕМЫХ К ИСПОЛЬЗОВАНИЮ В ТСК СУДОВ</w:t>
      </w:r>
    </w:p>
    <w:p w:rsidR="00CB6A5F" w:rsidRDefault="00CB6A5F">
      <w:pPr>
        <w:pStyle w:val="ConsPlusNormal"/>
        <w:jc w:val="center"/>
      </w:pPr>
      <w:r>
        <w:t>РЫБОПРОМЫСЛОВОГО ФЛОТА</w:t>
      </w: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ind w:firstLine="540"/>
        <w:jc w:val="both"/>
      </w:pPr>
      <w:r>
        <w:t>СЗС "</w:t>
      </w:r>
      <w:proofErr w:type="spellStart"/>
      <w:r>
        <w:t>Инмарсат</w:t>
      </w:r>
      <w:proofErr w:type="spellEnd"/>
      <w:r>
        <w:t>":</w:t>
      </w:r>
    </w:p>
    <w:p w:rsidR="00CB6A5F" w:rsidRDefault="00CB6A5F">
      <w:pPr>
        <w:pStyle w:val="ConsPlusNormal"/>
        <w:ind w:firstLine="540"/>
        <w:jc w:val="both"/>
      </w:pPr>
      <w:r>
        <w:t>- JUE-95VM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JUE-95LT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JUE-85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JUE-87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SAILOR 6110 GMDSS SYSTEM/SSAS/LRIT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SAILOR 6120 SSA/LRIT System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SAILOR 6130LRIT System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SAILOR 6140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SAILOR 6150 NON-SOLAS SYSTEM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FELCOM19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FELCOM18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HIGHLANDER HLD 6110 GDMSS SYSTEM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lastRenderedPageBreak/>
        <w:t xml:space="preserve">- </w:t>
      </w:r>
      <w:r>
        <w:t>ТРАНЗАС</w:t>
      </w:r>
      <w:r w:rsidRPr="00CB6A5F">
        <w:rPr>
          <w:lang w:val="en-US"/>
        </w:rPr>
        <w:t>-6140 Mini-C Maritime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 xml:space="preserve">- </w:t>
      </w:r>
      <w:r>
        <w:t>ТРАНЗАС</w:t>
      </w:r>
      <w:r w:rsidRPr="00CB6A5F">
        <w:rPr>
          <w:lang w:val="en-US"/>
        </w:rPr>
        <w:t>-6110 Mini-C GMDSS</w:t>
      </w:r>
    </w:p>
    <w:p w:rsidR="00CB6A5F" w:rsidRPr="00CB6A5F" w:rsidRDefault="00CB6A5F">
      <w:pPr>
        <w:pStyle w:val="ConsPlusNormal"/>
        <w:jc w:val="both"/>
        <w:rPr>
          <w:lang w:val="en-US"/>
        </w:rPr>
      </w:pP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>
        <w:t>СЗС</w:t>
      </w:r>
      <w:r w:rsidRPr="00CB6A5F">
        <w:rPr>
          <w:lang w:val="en-US"/>
        </w:rPr>
        <w:t xml:space="preserve"> "</w:t>
      </w:r>
      <w:r>
        <w:t>Гонец</w:t>
      </w:r>
      <w:r w:rsidRPr="00CB6A5F">
        <w:rPr>
          <w:lang w:val="en-US"/>
        </w:rPr>
        <w:t>":</w:t>
      </w:r>
    </w:p>
    <w:p w:rsidR="00CB6A5F" w:rsidRDefault="00CB6A5F">
      <w:pPr>
        <w:pStyle w:val="ConsPlusNormal"/>
        <w:ind w:firstLine="540"/>
        <w:jc w:val="both"/>
      </w:pPr>
      <w:r>
        <w:t>- Абонентский терминал МСПСС "Гонец-Д1М" АТ-МН-2.1"</w:t>
      </w: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jc w:val="right"/>
      </w:pPr>
      <w:r>
        <w:t>Приложение N 2</w:t>
      </w:r>
    </w:p>
    <w:p w:rsidR="00CB6A5F" w:rsidRDefault="00CB6A5F">
      <w:pPr>
        <w:pStyle w:val="ConsPlusNormal"/>
        <w:jc w:val="right"/>
      </w:pPr>
      <w:r>
        <w:t>к Порядку оснащения судов</w:t>
      </w:r>
    </w:p>
    <w:p w:rsidR="00CB6A5F" w:rsidRDefault="00CB6A5F">
      <w:pPr>
        <w:pStyle w:val="ConsPlusNormal"/>
        <w:jc w:val="right"/>
      </w:pPr>
      <w:r>
        <w:t>техническими средствами</w:t>
      </w:r>
    </w:p>
    <w:p w:rsidR="00CB6A5F" w:rsidRDefault="00CB6A5F">
      <w:pPr>
        <w:pStyle w:val="ConsPlusNormal"/>
        <w:jc w:val="right"/>
      </w:pPr>
      <w:r>
        <w:t>контроля и их виды</w:t>
      </w: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jc w:val="center"/>
      </w:pPr>
      <w:bookmarkStart w:id="9" w:name="P156"/>
      <w:bookmarkEnd w:id="9"/>
      <w:r>
        <w:t>ПЕРЕЧЕНЬ</w:t>
      </w:r>
    </w:p>
    <w:p w:rsidR="00CB6A5F" w:rsidRDefault="00CB6A5F">
      <w:pPr>
        <w:pStyle w:val="ConsPlusNormal"/>
        <w:jc w:val="center"/>
      </w:pPr>
      <w:r>
        <w:t xml:space="preserve">ОБОРУДОВАНИЯ </w:t>
      </w:r>
      <w:proofErr w:type="gramStart"/>
      <w:r>
        <w:t>АВТОМАТИЧЕСКОЙ</w:t>
      </w:r>
      <w:proofErr w:type="gramEnd"/>
      <w:r>
        <w:t xml:space="preserve"> ИДЕНТИФИКАЦИОННОЙ</w:t>
      </w:r>
    </w:p>
    <w:p w:rsidR="00CB6A5F" w:rsidRDefault="00CB6A5F">
      <w:pPr>
        <w:pStyle w:val="ConsPlusNormal"/>
        <w:jc w:val="center"/>
      </w:pPr>
      <w:r>
        <w:t>СИСТЕМЫ (АИС), ДОПУСКАЕМОЙ К ИСПОЛЬЗОВАНИЮ В ТСК СУДОВ</w:t>
      </w:r>
    </w:p>
    <w:p w:rsidR="00CB6A5F" w:rsidRDefault="00CB6A5F">
      <w:pPr>
        <w:pStyle w:val="ConsPlusNormal"/>
        <w:jc w:val="center"/>
      </w:pPr>
      <w:r>
        <w:t>РЫБОПРОМЫСЛОВОГО ФЛОТА</w:t>
      </w: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ind w:firstLine="540"/>
        <w:jc w:val="both"/>
      </w:pPr>
      <w:r>
        <w:t>Аппаратура АИС класса A: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TransasT-104/</w:t>
      </w:r>
      <w:proofErr w:type="spellStart"/>
      <w:r>
        <w:t>ТранзасТ</w:t>
      </w:r>
      <w:proofErr w:type="spellEnd"/>
      <w:r w:rsidRPr="00CB6A5F">
        <w:rPr>
          <w:lang w:val="en-US"/>
        </w:rPr>
        <w:t>-104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TransasT-105/</w:t>
      </w:r>
      <w:proofErr w:type="spellStart"/>
      <w:r>
        <w:t>ТранзасТ</w:t>
      </w:r>
      <w:proofErr w:type="spellEnd"/>
      <w:r w:rsidRPr="00CB6A5F">
        <w:rPr>
          <w:lang w:val="en-US"/>
        </w:rPr>
        <w:t>-105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S1-30AR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Sailor 6280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Sailor 6281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TransasT-101/</w:t>
      </w:r>
      <w:proofErr w:type="spellStart"/>
      <w:r>
        <w:t>ТранзасТ</w:t>
      </w:r>
      <w:proofErr w:type="spellEnd"/>
      <w:r w:rsidRPr="00CB6A5F">
        <w:rPr>
          <w:lang w:val="en-US"/>
        </w:rPr>
        <w:t>-101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TransasT-103/</w:t>
      </w:r>
      <w:proofErr w:type="spellStart"/>
      <w:r>
        <w:t>ТранзасТ</w:t>
      </w:r>
      <w:proofErr w:type="spellEnd"/>
      <w:r w:rsidRPr="00CB6A5F">
        <w:rPr>
          <w:lang w:val="en-US"/>
        </w:rPr>
        <w:t>-103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SI-30R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SI-10R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SIS-5R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AIS 200R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SEATEX AIS 100 TRANSPONDER/R</w:t>
      </w:r>
    </w:p>
    <w:p w:rsidR="00CB6A5F" w:rsidRPr="00CB6A5F" w:rsidRDefault="00CB6A5F">
      <w:pPr>
        <w:pStyle w:val="ConsPlusNormal"/>
        <w:ind w:firstLine="540"/>
        <w:jc w:val="both"/>
        <w:rPr>
          <w:lang w:val="en-US"/>
        </w:rPr>
      </w:pPr>
      <w:r w:rsidRPr="00CB6A5F">
        <w:rPr>
          <w:lang w:val="en-US"/>
        </w:rPr>
        <w:t>- KTM-201P</w:t>
      </w:r>
    </w:p>
    <w:p w:rsidR="00CB6A5F" w:rsidRDefault="00CB6A5F">
      <w:pPr>
        <w:pStyle w:val="ConsPlusNormal"/>
        <w:ind w:firstLine="540"/>
        <w:jc w:val="both"/>
      </w:pPr>
      <w:r>
        <w:t>- MT-101</w:t>
      </w:r>
    </w:p>
    <w:p w:rsidR="00CB6A5F" w:rsidRDefault="00CB6A5F">
      <w:pPr>
        <w:pStyle w:val="ConsPlusNormal"/>
        <w:ind w:firstLine="540"/>
        <w:jc w:val="both"/>
      </w:pPr>
      <w:r>
        <w:t>- ТРИТОН-92</w:t>
      </w: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jc w:val="both"/>
      </w:pPr>
    </w:p>
    <w:p w:rsidR="00CB6A5F" w:rsidRDefault="00CB6A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462" w:rsidRDefault="00CB6A5F">
      <w:bookmarkStart w:id="10" w:name="_GoBack"/>
      <w:bookmarkEnd w:id="10"/>
    </w:p>
    <w:sectPr w:rsidR="004C5462" w:rsidSect="00FA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5F"/>
    <w:rsid w:val="000B6A1A"/>
    <w:rsid w:val="002E4B26"/>
    <w:rsid w:val="00CB6A5F"/>
    <w:rsid w:val="00E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A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A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5B99501FCAFF27994EFCD1677B4F492002B0D07D16CAE7ABC97F875D7E569722A7168A7CD7648H42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B5B99501FCAFF27994EFCD1677B4F492002B0D07D16CAE7ABC97F875D7E569722A7168A7CD7648H426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5B99501FCAFF27994EFCD1677B4F49200290D06D56CAE7ABC97F875D7E569722A7168A5HC2B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AB5B99501FCAFF27994E6D41177B4F4920123060ADD6CAE7ABC97F875HD2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B5B99501FCAFF27994EAC21577B4F49105220803DF31A472E59BFA72D8BA7E75637D69A7CF71H42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 Владимир Николаевич</dc:creator>
  <cp:lastModifiedBy>Мурзак Владимир Николаевич</cp:lastModifiedBy>
  <cp:revision>1</cp:revision>
  <dcterms:created xsi:type="dcterms:W3CDTF">2016-11-18T03:54:00Z</dcterms:created>
  <dcterms:modified xsi:type="dcterms:W3CDTF">2016-11-18T03:55:00Z</dcterms:modified>
</cp:coreProperties>
</file>