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944A70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23</w:t>
      </w:r>
      <w:r w:rsidR="005022F6">
        <w:rPr>
          <w:rFonts w:ascii="Times New Roman" w:hAnsi="Times New Roman"/>
          <w:sz w:val="28"/>
          <w:szCs w:val="28"/>
          <w:lang w:eastAsia="en-US"/>
        </w:rPr>
        <w:t xml:space="preserve"> апреля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5022F6"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5022F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53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Pr="001D4A1F" w:rsidRDefault="00AF3477" w:rsidP="001D4A1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7047F" w:rsidRPr="0007047F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</w:t>
      </w:r>
      <w:r w:rsidR="001D4A1F" w:rsidRPr="001D4A1F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«</w:t>
      </w:r>
      <w:r w:rsidR="001D4A1F" w:rsidRP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D4A1F" w:rsidRP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>Новолесновского</w:t>
      </w:r>
      <w:proofErr w:type="spellEnd"/>
      <w:r w:rsidR="001D4A1F" w:rsidRP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1D4A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1D4A1F" w:rsidRDefault="0007047F" w:rsidP="001D4A1F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Внести </w:t>
      </w:r>
      <w:r w:rsidR="00DE3B0E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DE3B0E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1D4A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D4A1F" w:rsidRPr="001D4A1F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D4A1F" w:rsidRPr="001D4A1F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DE3B0E" w:rsidRPr="001D4A1F">
        <w:rPr>
          <w:rFonts w:ascii="Times New Roman" w:hAnsi="Times New Roman"/>
          <w:sz w:val="28"/>
          <w:szCs w:val="28"/>
          <w:lang w:bidi="ru-RU"/>
        </w:rPr>
        <w:t>,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0C362F" w:rsidRPr="007D2F24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>
        <w:rPr>
          <w:rFonts w:ascii="Times New Roman" w:hAnsi="Times New Roman"/>
          <w:sz w:val="28"/>
          <w:szCs w:val="28"/>
        </w:rPr>
        <w:t>м</w:t>
      </w:r>
      <w:r w:rsidR="000C362F" w:rsidRPr="007D2F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sz w:val="28"/>
          <w:szCs w:val="28"/>
        </w:rPr>
        <w:t xml:space="preserve"> сельского п</w:t>
      </w:r>
      <w:r w:rsidR="001D4A1F">
        <w:rPr>
          <w:rFonts w:ascii="Times New Roman" w:hAnsi="Times New Roman"/>
          <w:sz w:val="28"/>
          <w:szCs w:val="28"/>
        </w:rPr>
        <w:t xml:space="preserve">оселения от 15.01.2018 № 8 </w:t>
      </w:r>
      <w:r w:rsidR="001D4A1F" w:rsidRPr="001D4A1F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D4A1F" w:rsidRPr="001D4A1F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D4A1F" w:rsidRPr="001D4A1F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1D4A1F" w:rsidRPr="001D4A1F">
        <w:rPr>
          <w:rFonts w:ascii="Times New Roman" w:hAnsi="Times New Roman"/>
          <w:sz w:val="28"/>
          <w:szCs w:val="28"/>
          <w:lang w:bidi="ru-RU"/>
        </w:rPr>
        <w:t xml:space="preserve"> сельского поселения,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0C362F" w:rsidRPr="001D4A1F">
        <w:rPr>
          <w:rFonts w:ascii="Times New Roman" w:hAnsi="Times New Roman"/>
          <w:bCs/>
          <w:sz w:val="28"/>
          <w:szCs w:val="28"/>
        </w:rPr>
        <w:t>»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</w:t>
      </w:r>
      <w:proofErr w:type="spellStart"/>
      <w:r w:rsidR="000C362F" w:rsidRPr="007D2F24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F26D55" w:rsidRDefault="008B14EB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– в пункте 1.1. после слов «</w:t>
      </w:r>
      <w:r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«</w:t>
      </w:r>
      <w:r w:rsidR="00860B4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 w:rsidR="00860B4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t xml:space="preserve">многофункционального центра, работника многофункционального центра, а также организаций, осуществляющих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функции по предоставлению муниципальных услуг, или их работников</w:t>
      </w:r>
      <w:r>
        <w:rPr>
          <w:rFonts w:ascii="Times New Roman" w:hAnsi="Times New Roman"/>
          <w:bCs/>
          <w:iCs/>
          <w:sz w:val="28"/>
          <w:szCs w:val="28"/>
        </w:rPr>
        <w:t>»;</w:t>
      </w:r>
    </w:p>
    <w:p w:rsidR="00F26D55" w:rsidRDefault="00F26D55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1.3. следующего содержания:</w:t>
      </w:r>
    </w:p>
    <w:p w:rsidR="008B14EB" w:rsidRDefault="00F26D55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«1.3. Административный регламент распространяет своё действие на правоотношения, возникшие между заявителями муниципальной услуги</w:t>
      </w:r>
      <w:r w:rsidR="00135241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26364B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F26D55" w:rsidRPr="008B14EB" w:rsidRDefault="00F26D55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C3219F" w:rsidRDefault="00C3219F" w:rsidP="00C3219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 w:rsidR="002A791C"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A791C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 w:rsidR="002A791C"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A791C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26364B" w:rsidRPr="00C3219F" w:rsidRDefault="0026364B" w:rsidP="00C3219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 исключить;</w:t>
      </w:r>
    </w:p>
    <w:p w:rsidR="0026364B" w:rsidRDefault="0026364B" w:rsidP="0026364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26364B" w:rsidRPr="0026364B" w:rsidRDefault="0026364B" w:rsidP="0026364B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3855FD" w:rsidRDefault="0026364B" w:rsidP="003855F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 20.6. </w:t>
      </w:r>
      <w:r w:rsidR="00C24DE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24DE5" w:rsidRPr="00C24DE5" w:rsidRDefault="00C24DE5" w:rsidP="00C24DE5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 w:rsidR="005022F6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C24DE5" w:rsidRPr="00C24DE5" w:rsidRDefault="00C24DE5" w:rsidP="00C24DE5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24DE5" w:rsidRDefault="00C24DE5" w:rsidP="00C24DE5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135241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C24DE5" w:rsidRDefault="00C24DE5" w:rsidP="00C24DE5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20.10. исключить; </w:t>
      </w:r>
    </w:p>
    <w:p w:rsidR="00C24DE5" w:rsidRPr="003855FD" w:rsidRDefault="00C24DE5" w:rsidP="00C24DE5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21.3. следующего содержания:</w:t>
      </w:r>
    </w:p>
    <w:p w:rsidR="00C24DE5" w:rsidRPr="00C3219F" w:rsidRDefault="00C24DE5" w:rsidP="00C24DE5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C24DE5" w:rsidRPr="00C24DE5" w:rsidRDefault="00C24DE5" w:rsidP="00C24DE5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5022F6">
        <w:rPr>
          <w:rFonts w:ascii="Times New Roman" w:hAnsi="Times New Roman"/>
          <w:sz w:val="28"/>
          <w:szCs w:val="28"/>
          <w:lang w:bidi="ru-RU"/>
        </w:rPr>
        <w:t>ЕПГУ/</w:t>
      </w:r>
      <w:r w:rsidRPr="00C3219F">
        <w:rPr>
          <w:rFonts w:ascii="Times New Roman" w:hAnsi="Times New Roman"/>
          <w:sz w:val="28"/>
          <w:szCs w:val="28"/>
          <w:lang w:bidi="ru-RU"/>
        </w:rPr>
        <w:t>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C24DE5" w:rsidRDefault="00C24DE5" w:rsidP="003855F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C24DE5" w:rsidRDefault="00C24DE5" w:rsidP="003855F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23.4., 23.9., 24.5., 26.8. исключить;</w:t>
      </w:r>
    </w:p>
    <w:p w:rsidR="00C24DE5" w:rsidRDefault="00C24DE5" w:rsidP="003855F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27.3. исключить; </w:t>
      </w:r>
    </w:p>
    <w:p w:rsidR="00C24DE5" w:rsidRDefault="00C24DE5" w:rsidP="003855FD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27.6. исключить;</w:t>
      </w:r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5A30B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32</w:t>
      </w:r>
      <w:bookmarkStart w:id="0" w:name="_GoBack"/>
      <w:bookmarkEnd w:id="0"/>
      <w:r w:rsidR="003855FD"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 xml:space="preserve">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lastRenderedPageBreak/>
        <w:t xml:space="preserve">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дством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proofErr w:type="gram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proofErr w:type="gram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В случае, если жалоба подана заявителем в орган, в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2) номер, дата, место принятия решения, включая сведения о </w:t>
      </w:r>
      <w:r w:rsidRPr="00033356">
        <w:rPr>
          <w:rFonts w:ascii="Times New Roman" w:eastAsia="Calibri" w:hAnsi="Times New Roman"/>
          <w:sz w:val="28"/>
          <w:szCs w:val="28"/>
        </w:rPr>
        <w:lastRenderedPageBreak/>
        <w:t>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1D207D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1D207D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35241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6364B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022F6"/>
    <w:rsid w:val="00547F02"/>
    <w:rsid w:val="00550B3D"/>
    <w:rsid w:val="005548D0"/>
    <w:rsid w:val="00560BD9"/>
    <w:rsid w:val="00572353"/>
    <w:rsid w:val="00577539"/>
    <w:rsid w:val="00583312"/>
    <w:rsid w:val="005A30BD"/>
    <w:rsid w:val="005A3BDD"/>
    <w:rsid w:val="005C0F6C"/>
    <w:rsid w:val="005C474F"/>
    <w:rsid w:val="005D66EC"/>
    <w:rsid w:val="005E7097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0B4C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44A70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24DE5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26D55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3B0A"/>
  <w15:docId w15:val="{1C5D0D9D-4FAD-4369-9DD8-C58AB802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3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2DAA-D67A-4D0C-9530-D096F1A6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63</cp:revision>
  <cp:lastPrinted>2019-04-23T23:13:00Z</cp:lastPrinted>
  <dcterms:created xsi:type="dcterms:W3CDTF">2018-12-24T22:58:00Z</dcterms:created>
  <dcterms:modified xsi:type="dcterms:W3CDTF">2019-04-25T00:40:00Z</dcterms:modified>
</cp:coreProperties>
</file>