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1D4A1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DC59F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3230E7" w:rsidRPr="003230E7" w:rsidRDefault="00AF3477" w:rsidP="003230E7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7047F" w:rsidRPr="0007047F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</w:t>
      </w:r>
      <w:r w:rsidR="003230E7" w:rsidRPr="003230E7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="003230E7" w:rsidRPr="003230E7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по согласованию местоположения границ земельного участка </w:t>
      </w:r>
    </w:p>
    <w:p w:rsidR="00ED0209" w:rsidRPr="001D4A1F" w:rsidRDefault="00ED0209" w:rsidP="001D4A1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3230E7" w:rsidRDefault="0007047F" w:rsidP="003230E7">
      <w:pPr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3230E7">
        <w:rPr>
          <w:rFonts w:ascii="Times New Roman" w:hAnsi="Times New Roman"/>
          <w:sz w:val="28"/>
          <w:szCs w:val="28"/>
        </w:rPr>
        <w:t>1</w:t>
      </w:r>
      <w:r w:rsidR="000C362F" w:rsidRPr="003230E7">
        <w:rPr>
          <w:rFonts w:ascii="Times New Roman" w:hAnsi="Times New Roman"/>
          <w:sz w:val="28"/>
          <w:szCs w:val="28"/>
        </w:rPr>
        <w:t xml:space="preserve">. Внести </w:t>
      </w:r>
      <w:r w:rsidR="00DE3B0E" w:rsidRPr="003230E7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3230E7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3230E7" w:rsidRPr="003230E7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230E7" w:rsidRPr="003230E7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по согласованию местоположения границ земельного участка</w:t>
      </w:r>
      <w:r w:rsidR="00DE3B0E" w:rsidRPr="003230E7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="00DE3B0E" w:rsidRPr="003230E7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3230E7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3230E7">
        <w:rPr>
          <w:rFonts w:ascii="Times New Roman" w:hAnsi="Times New Roman"/>
          <w:sz w:val="28"/>
          <w:szCs w:val="28"/>
        </w:rPr>
        <w:t>м</w:t>
      </w:r>
      <w:proofErr w:type="gramEnd"/>
      <w:r w:rsidR="000C362F" w:rsidRPr="003230E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3230E7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3230E7">
        <w:rPr>
          <w:rFonts w:ascii="Times New Roman" w:hAnsi="Times New Roman"/>
          <w:sz w:val="28"/>
          <w:szCs w:val="28"/>
        </w:rPr>
        <w:t xml:space="preserve"> сельского п</w:t>
      </w:r>
      <w:r w:rsidR="003230E7" w:rsidRPr="003230E7">
        <w:rPr>
          <w:rFonts w:ascii="Times New Roman" w:hAnsi="Times New Roman"/>
          <w:sz w:val="28"/>
          <w:szCs w:val="28"/>
        </w:rPr>
        <w:t>оселения от 15.01.2018 № 5</w:t>
      </w:r>
      <w:r w:rsidR="001D4A1F" w:rsidRPr="003230E7">
        <w:rPr>
          <w:rFonts w:ascii="Times New Roman" w:hAnsi="Times New Roman"/>
          <w:sz w:val="28"/>
          <w:szCs w:val="28"/>
        </w:rPr>
        <w:t xml:space="preserve"> «</w:t>
      </w:r>
      <w:r w:rsidR="003230E7" w:rsidRPr="003230E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230E7" w:rsidRPr="003230E7">
        <w:rPr>
          <w:rFonts w:ascii="Times New Roman" w:hAnsi="Times New Roman"/>
          <w:bCs/>
          <w:sz w:val="28"/>
          <w:szCs w:val="28"/>
          <w:lang w:bidi="ru-RU"/>
        </w:rPr>
        <w:t>по согласованию местоположения границ земельного участка</w:t>
      </w:r>
      <w:r w:rsidR="000C362F" w:rsidRPr="003230E7">
        <w:rPr>
          <w:rFonts w:ascii="Times New Roman" w:hAnsi="Times New Roman"/>
          <w:bCs/>
          <w:sz w:val="28"/>
          <w:szCs w:val="28"/>
        </w:rPr>
        <w:t xml:space="preserve">» (в редакции постановления администрации </w:t>
      </w:r>
      <w:proofErr w:type="spellStart"/>
      <w:r w:rsidR="000C362F" w:rsidRPr="003230E7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3230E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 w:rsidRPr="003230E7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3230E7">
        <w:rPr>
          <w:rFonts w:ascii="Times New Roman" w:hAnsi="Times New Roman"/>
          <w:bCs/>
          <w:sz w:val="28"/>
          <w:szCs w:val="28"/>
        </w:rPr>
        <w:t>)</w:t>
      </w:r>
      <w:r w:rsidR="00DE3B0E" w:rsidRPr="003230E7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3230E7">
        <w:rPr>
          <w:rFonts w:ascii="Times New Roman" w:hAnsi="Times New Roman"/>
          <w:bCs/>
          <w:sz w:val="28"/>
          <w:szCs w:val="28"/>
        </w:rPr>
        <w:t xml:space="preserve">: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– в пункте 1.1. после слов «</w:t>
      </w:r>
      <w:r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« 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Cs/>
          <w:iCs/>
          <w:sz w:val="28"/>
          <w:szCs w:val="28"/>
        </w:rPr>
        <w:t>»;</w:t>
      </w:r>
    </w:p>
    <w:p w:rsidR="005F2198" w:rsidRDefault="003230E7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1.3</w:t>
      </w:r>
      <w:r w:rsidR="005F2198">
        <w:rPr>
          <w:rFonts w:ascii="Times New Roman" w:hAnsi="Times New Roman"/>
          <w:bCs/>
          <w:iCs/>
          <w:sz w:val="28"/>
          <w:szCs w:val="28"/>
        </w:rPr>
        <w:t>. следующего содержания:</w:t>
      </w:r>
    </w:p>
    <w:p w:rsidR="005F2198" w:rsidRDefault="003230E7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«1.3</w:t>
      </w:r>
      <w:r w:rsidR="005F2198">
        <w:rPr>
          <w:rFonts w:ascii="Times New Roman" w:hAnsi="Times New Roman"/>
          <w:bCs/>
          <w:iCs/>
          <w:sz w:val="28"/>
          <w:szCs w:val="28"/>
        </w:rPr>
        <w:t xml:space="preserve">. Административный регламент распространяет своё действие на правоотношения, возникшие между заявителями муниципальной услуги и   </w:t>
      </w:r>
      <w:r w:rsidR="005F2198"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="005F2198"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 w:rsidR="005F2198"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 w:rsidR="005F2198"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="005F2198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F2198"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5F2198" w:rsidRP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5F2198" w:rsidRPr="00C3219F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</w:t>
      </w:r>
      <w:r w:rsidR="003230E7">
        <w:rPr>
          <w:rFonts w:ascii="Times New Roman" w:hAnsi="Times New Roman"/>
          <w:bCs/>
          <w:sz w:val="28"/>
          <w:szCs w:val="28"/>
        </w:rPr>
        <w:t>, 11.5.</w:t>
      </w:r>
      <w:r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5F2198" w:rsidRPr="0026364B" w:rsidRDefault="005F2198" w:rsidP="005F2198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5F2198" w:rsidRDefault="003230E7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20.7. – 20.11</w:t>
      </w:r>
      <w:r w:rsidR="005F2198">
        <w:rPr>
          <w:rFonts w:ascii="Times New Roman" w:hAnsi="Times New Roman"/>
          <w:bCs/>
          <w:sz w:val="28"/>
          <w:szCs w:val="28"/>
          <w:lang w:bidi="ru-RU"/>
        </w:rPr>
        <w:t xml:space="preserve">. исключить; </w:t>
      </w:r>
    </w:p>
    <w:p w:rsidR="005F2198" w:rsidRPr="003855FD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21.3. следующего содержания:</w:t>
      </w:r>
    </w:p>
    <w:p w:rsidR="005F2198" w:rsidRPr="00C3219F" w:rsidRDefault="005F2198" w:rsidP="005F2198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 22.9., </w:t>
      </w:r>
      <w:r w:rsidR="003230E7">
        <w:rPr>
          <w:rFonts w:ascii="Times New Roman" w:hAnsi="Times New Roman"/>
          <w:bCs/>
          <w:sz w:val="28"/>
          <w:szCs w:val="28"/>
        </w:rPr>
        <w:t>23.4., 23.9., 24.5., 25.12., 26.9</w:t>
      </w:r>
      <w:r>
        <w:rPr>
          <w:rFonts w:ascii="Times New Roman" w:hAnsi="Times New Roman"/>
          <w:bCs/>
          <w:sz w:val="28"/>
          <w:szCs w:val="28"/>
        </w:rPr>
        <w:t>. исключить;</w:t>
      </w:r>
    </w:p>
    <w:p w:rsidR="005F2198" w:rsidRDefault="003230E7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абзац пятый пункта 27.1</w:t>
      </w:r>
      <w:r w:rsidR="005F2198">
        <w:rPr>
          <w:rFonts w:ascii="Times New Roman" w:hAnsi="Times New Roman"/>
          <w:bCs/>
          <w:sz w:val="28"/>
          <w:szCs w:val="28"/>
        </w:rPr>
        <w:t xml:space="preserve">. исключить; </w:t>
      </w:r>
    </w:p>
    <w:p w:rsidR="005F2198" w:rsidRDefault="003230E7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27.4</w:t>
      </w:r>
      <w:bookmarkStart w:id="0" w:name="_GoBack"/>
      <w:bookmarkEnd w:id="0"/>
      <w:r w:rsidR="005F2198">
        <w:rPr>
          <w:rFonts w:ascii="Times New Roman" w:hAnsi="Times New Roman"/>
          <w:bCs/>
          <w:sz w:val="28"/>
          <w:szCs w:val="28"/>
        </w:rPr>
        <w:t>. исключить;</w:t>
      </w:r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27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затребование с заявителя при предоставлении муниципальной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lastRenderedPageBreak/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дством официального сайта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дминистрации</w:t>
      </w:r>
      <w:r w:rsidR="003855FD" w:rsidRPr="00033356">
        <w:rPr>
          <w:rFonts w:ascii="Times New Roman" w:eastAsia="Courier New" w:hAnsi="Times New Roman"/>
          <w:color w:val="000000"/>
          <w:sz w:val="16"/>
          <w:szCs w:val="16"/>
          <w:lang w:bidi="ru-RU"/>
        </w:rPr>
        <w:t xml:space="preserve">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сети «Интернет», 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014C0"/>
    <w:rsid w:val="00216E16"/>
    <w:rsid w:val="00237841"/>
    <w:rsid w:val="00245434"/>
    <w:rsid w:val="00256D8A"/>
    <w:rsid w:val="002932C3"/>
    <w:rsid w:val="002A2972"/>
    <w:rsid w:val="002A791C"/>
    <w:rsid w:val="002B6B24"/>
    <w:rsid w:val="002F6570"/>
    <w:rsid w:val="00300262"/>
    <w:rsid w:val="00312AA1"/>
    <w:rsid w:val="00316C3B"/>
    <w:rsid w:val="003230E7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20455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5F2198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02BF"/>
  <w15:docId w15:val="{7C43C659-02DE-40F1-B714-9332A6F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FE67-03DE-4F19-84CE-083906D7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61</cp:revision>
  <cp:lastPrinted>2019-03-14T02:15:00Z</cp:lastPrinted>
  <dcterms:created xsi:type="dcterms:W3CDTF">2018-12-24T22:58:00Z</dcterms:created>
  <dcterms:modified xsi:type="dcterms:W3CDTF">2019-04-02T00:46:00Z</dcterms:modified>
</cp:coreProperties>
</file>