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51" y="0"/>
                <wp:lineTo x="-51" y="20845"/>
                <wp:lineTo x="20918" y="20845"/>
                <wp:lineTo x="20918" y="0"/>
                <wp:lineTo x="-51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3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/>
        <w:spacing w:lineRule="auto" w:line="240" w:before="0" w:after="0"/>
        <w:ind w:hanging="0" w:left="30" w:right="0"/>
        <w:jc w:val="center"/>
        <w:rPr>
          <w:rFonts w:ascii="Times New Roman" w:hAnsi="Times New Roman"/>
          <w:b/>
          <w:sz w:val="28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pacing w:val="0"/>
          <w:sz w:val="28"/>
        </w:rPr>
        <w:t xml:space="preserve">О внесении изменения в часть 1 постановления Правительства Камчатского края от 18.11.2022 № 596-П «О предоставлении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</w:t>
      </w:r>
      <w:r>
        <w:rPr>
          <w:rFonts w:ascii="Times New Roman" w:hAnsi="Times New Roman"/>
          <w:b/>
          <w:spacing w:val="0"/>
          <w:sz w:val="28"/>
        </w:rPr>
        <w:br/>
      </w:r>
      <w:r>
        <w:rPr>
          <w:rFonts w:ascii="Times New Roman" w:hAnsi="Times New Roman"/>
          <w:b/>
          <w:color w:val="000000"/>
          <w:spacing w:val="0"/>
          <w:sz w:val="28"/>
        </w:rPr>
        <w:t>с 24 февраля 2022 года, и членам их семей»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часть 1 постановления Правительства Камчатского края </w:t>
        <w:br/>
        <w:t>от 18.11.2022 № 596-П «О предоставлении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семей» следующие изменения: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пункт 1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«1) военнослужащим, лицам, проходящим службу в подразделениях войск национальной гвардии Российской Федерации и имеющим специальное звание полиции, лицам, проходящим службу в органах Федеральной службы безопасности Российской Федерации, включенным в списки личного состава воинских частей, а также указанных подразделений и органов, находящихся на территории Камчатского края, лицам, указанн</w:t>
      </w:r>
      <w:r>
        <w:rPr>
          <w:rFonts w:ascii="Times New Roman" w:hAnsi="Times New Roman"/>
          <w:b w:val="false"/>
          <w:color w:val="000000"/>
          <w:sz w:val="28"/>
          <w:highlight w:val="white"/>
        </w:rPr>
        <w:t xml:space="preserve">ым в 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highlight w:val="white"/>
          <w:u w:val="none"/>
        </w:rPr>
        <w:t>пунктах 4</w:t>
      </w:r>
      <w:r>
        <w:rPr>
          <w:rFonts w:ascii="Times New Roman" w:hAnsi="Times New Roman"/>
          <w:b w:val="false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highlight w:val="white"/>
          <w:u w:val="none"/>
        </w:rPr>
        <w:t>7</w:t>
      </w:r>
      <w:r>
        <w:rPr>
          <w:rFonts w:ascii="Times New Roman" w:hAnsi="Times New Roman"/>
          <w:b w:val="false"/>
          <w:color w:val="000000"/>
          <w:sz w:val="28"/>
          <w:highlight w:val="white"/>
        </w:rPr>
        <w:t xml:space="preserve"> настоящей части и 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highlight w:val="white"/>
          <w:u w:val="none"/>
        </w:rPr>
        <w:t>части 1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highlight w:val="white"/>
          <w:u w:val="none"/>
          <w:vertAlign w:val="superscript"/>
        </w:rPr>
        <w:t>1</w:t>
      </w:r>
      <w:r>
        <w:rPr>
          <w:rFonts w:ascii="Times New Roman" w:hAnsi="Times New Roman"/>
          <w:b w:val="false"/>
          <w:color w:val="000000"/>
          <w:sz w:val="28"/>
          <w:highlight w:val="white"/>
        </w:rPr>
        <w:t xml:space="preserve"> настоящего постановления, (далее – военнослужащие) и получившим ранение (контузию, травму, увечье) в ходе проведения специальной военной операции, – в виде единовременной выплат</w:t>
      </w:r>
      <w:r>
        <w:rPr>
          <w:rFonts w:ascii="Times New Roman" w:hAnsi="Times New Roman"/>
          <w:b w:val="false"/>
          <w:sz w:val="28"/>
        </w:rPr>
        <w:t>ы в следующих размерах:</w:t>
      </w:r>
    </w:p>
    <w:p>
      <w:pPr>
        <w:sectPr>
          <w:type w:val="nextPage"/>
          <w:pgSz w:w="11906" w:h="16838"/>
          <w:pgMar w:left="1395" w:right="857" w:gutter="0" w:header="0" w:top="1134" w:footer="0" w:bottom="1134"/>
          <w:pgNumType w:fmt="decimal"/>
          <w:formProt w:val="false"/>
          <w:textDirection w:val="lrTb"/>
        </w:sect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 xml:space="preserve">500 000 (пятьсот тысяч) рублей, в случае если ранение (контузия, травма, увечье) предусмотрено разделом I перечня увечий (ранений, травм, контузий), относящихся к тяжелым или легким, при наличии которых принимается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решение о наступлении страхового случая по обязательному государственному</w:t>
        <w:br/>
        <w:t>страхованию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Государственной противопожарной службы, сотрудников учреждений и органов уголовно-исполнительной системы, сотрудников органов принудительного исполнения Российской Федерации, лиц, проходящих службу в войсках национальной гвардии Российской Федерации и имеющих специальные звания полиции, утвержденного постановлением Правительства Российской Федерации от 29 июля 1998 г. № 855 «О мерах по реализации Федерального закона «Об обязательном государственном страховании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противопожарной службы, сотрудников учреждений и органов уголовно-исполнительной системы, сотрудников войск национальной гвардии Российской Федерации, сотрудников органов принудительного исполнения Российской Федерации» (далее — Перечень);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250 000 (двести пятьдесят тысяч) рублей, в случае если ранение (контузия, травма, увечье) предусмотрено разделом II Перечня;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100 000 (сто тысяч) рублей, в случае если ранение (контузия, травма, увечье) не предусмотрено Перечнем;»;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2) в пункте 2 слова «в размере 500 000 (пятьсот тысяч) рублей» заменить словами «в размерах, установленных пунктом 1 настоящей части.»;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3) в пункте 3 слова «в размере 500 000 (пятьсот тысяч) рублей» заменить словами «в размерах, установленных пунктом 1 настоящей части;».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Настоящее постановление вступает в силу после дня его официального опубликования и распространяется на правоотношения, возникшие с 13 ноября 2024 года.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568"/>
      </w:tblGrid>
      <w:tr>
        <w:trPr>
          <w:trHeight w:val="2220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3" w:left="3" w:right="0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2"/>
          </w:p>
          <w:p>
            <w:pPr>
              <w:pStyle w:val="Normal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30" w:right="2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/>
        <w:spacing w:lineRule="auto" w:line="264" w:before="0" w:after="16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417" w:right="850" w:gutter="0" w:header="1134" w:top="192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bookmarkStart w:id="3" w:name="PageNumWizard_HEADER_Базовый2"/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  <w:bookmarkEnd w:id="3"/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DefaultParagraphFont">
    <w:name w:val="Default Paragraph Font"/>
    <w:link w:val="DefaultParagraphFont1"/>
    <w:qFormat/>
    <w:rPr/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6">
    <w:name w:val="Оглавление 6 Знак"/>
    <w:link w:val="61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7">
    <w:name w:val="Оглавление 7 Знак"/>
    <w:link w:val="71"/>
    <w:qFormat/>
    <w:rPr>
      <w:rFonts w:ascii="XO Thames" w:hAnsi="XO Thames"/>
      <w:sz w:val="28"/>
    </w:rPr>
  </w:style>
  <w:style w:type="character" w:styleId="2">
    <w:name w:val="Заголовок 2 Знак"/>
    <w:link w:val="211"/>
    <w:qFormat/>
    <w:rPr>
      <w:rFonts w:ascii="XO Thames" w:hAnsi="XO Thames"/>
      <w:b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Style9">
    <w:name w:val="Заголовок"/>
    <w:link w:val="111"/>
    <w:qFormat/>
    <w:rPr>
      <w:rFonts w:ascii="Times New Roman" w:hAnsi="Times New Roman"/>
      <w:sz w:val="28"/>
    </w:rPr>
  </w:style>
  <w:style w:type="character" w:styleId="HeaderandFooter1">
    <w:name w:val="Header and Footer1"/>
    <w:link w:val="HeaderandFooter11"/>
    <w:qFormat/>
    <w:rPr>
      <w:rFonts w:ascii="XO Thames" w:hAnsi="XO Thames"/>
      <w:color w:val="000000"/>
      <w:sz w:val="20"/>
    </w:rPr>
  </w:style>
  <w:style w:type="character" w:styleId="5">
    <w:name w:val="Заголовок 5 Знак"/>
    <w:link w:val="511"/>
    <w:qFormat/>
    <w:rPr>
      <w:rFonts w:ascii="XO Thames" w:hAnsi="XO Thames"/>
      <w:b/>
      <w:sz w:val="22"/>
    </w:rPr>
  </w:style>
  <w:style w:type="character" w:styleId="4">
    <w:name w:val="Заголовок 4 Знак"/>
    <w:link w:val="411"/>
    <w:qFormat/>
    <w:rPr>
      <w:rFonts w:ascii="XO Thames" w:hAnsi="XO Thames"/>
      <w:b/>
      <w:sz w:val="24"/>
    </w:rPr>
  </w:style>
  <w:style w:type="character" w:styleId="Footnote1">
    <w:name w:val="Footnote1"/>
    <w:link w:val="Footnote11"/>
    <w:qFormat/>
    <w:rPr>
      <w:rFonts w:ascii="XO Thames" w:hAnsi="XO Thames"/>
      <w:color w:val="000000"/>
      <w:sz w:val="22"/>
    </w:rPr>
  </w:style>
  <w:style w:type="character" w:styleId="3">
    <w:name w:val="Оглавление 3 Знак"/>
    <w:link w:val="311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Style10">
    <w:name w:val="Заголовок Знак"/>
    <w:link w:val="17"/>
    <w:qFormat/>
    <w:rPr>
      <w:rFonts w:ascii="XO Thames" w:hAnsi="XO Thames"/>
      <w:b/>
      <w:caps/>
      <w:sz w:val="40"/>
    </w:rPr>
  </w:style>
  <w:style w:type="character" w:styleId="List1">
    <w:name w:val="List1"/>
    <w:basedOn w:val="Textbody"/>
    <w:qFormat/>
    <w:rPr>
      <w:rFonts w:ascii="Times New Roman" w:hAnsi="Times New Roman"/>
    </w:rPr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41">
    <w:name w:val="Оглавление 4 Знак"/>
    <w:link w:val="412"/>
    <w:qFormat/>
    <w:rPr>
      <w:rFonts w:ascii="XO Thames" w:hAnsi="XO Thames"/>
      <w:sz w:val="28"/>
    </w:rPr>
  </w:style>
  <w:style w:type="character" w:styleId="51">
    <w:name w:val="Оглавление 5 Знак"/>
    <w:link w:val="512"/>
    <w:qFormat/>
    <w:rPr>
      <w:rFonts w:ascii="XO Thames" w:hAnsi="XO Thames"/>
      <w:sz w:val="28"/>
    </w:rPr>
  </w:style>
  <w:style w:type="character" w:styleId="Style11">
    <w:name w:val="Подзаголовок Знак"/>
    <w:link w:val="18"/>
    <w:qFormat/>
    <w:rPr>
      <w:rFonts w:ascii="XO Thames" w:hAnsi="XO Thames"/>
      <w:i/>
      <w:sz w:val="24"/>
    </w:rPr>
  </w:style>
  <w:style w:type="character" w:styleId="8">
    <w:name w:val="Оглавление 8 Знак"/>
    <w:link w:val="81"/>
    <w:qFormat/>
    <w:rPr>
      <w:rFonts w:ascii="XO Thames" w:hAnsi="XO Thames"/>
      <w:sz w:val="28"/>
    </w:rPr>
  </w:style>
  <w:style w:type="character" w:styleId="21">
    <w:name w:val="Оглавление 2 Знак"/>
    <w:link w:val="212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31">
    <w:name w:val="Заголовок 3 Знак"/>
    <w:link w:val="312"/>
    <w:qFormat/>
    <w:rPr>
      <w:rFonts w:ascii="XO Thames" w:hAnsi="XO Thames"/>
      <w:b/>
      <w:sz w:val="26"/>
    </w:rPr>
  </w:style>
  <w:style w:type="character" w:styleId="Style12">
    <w:name w:val="Нижний колонтитул Знак"/>
    <w:basedOn w:val="14"/>
    <w:link w:val="19"/>
    <w:qFormat/>
    <w:rPr>
      <w:rFonts w:ascii="Times New Roman" w:hAnsi="Times New Roman"/>
      <w:sz w:val="28"/>
    </w:rPr>
  </w:style>
  <w:style w:type="character" w:styleId="Heading11">
    <w:name w:val="Heading 11"/>
    <w:qFormat/>
    <w:rPr>
      <w:rFonts w:ascii="XO Thames" w:hAnsi="XO Thames"/>
      <w:b/>
      <w:color w:val="000000"/>
      <w:sz w:val="32"/>
    </w:rPr>
  </w:style>
  <w:style w:type="character" w:styleId="1">
    <w:name w:val="Заголовок 1 Знак"/>
    <w:link w:val="113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z w:val="28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Textbody">
    <w:name w:val="Text body"/>
    <w:qFormat/>
    <w:rPr/>
  </w:style>
  <w:style w:type="character" w:styleId="11">
    <w:name w:val="Основной шрифт абзаца1"/>
    <w:link w:val="114"/>
    <w:qFormat/>
    <w:rPr>
      <w:rFonts w:ascii="Calibri" w:hAnsi="Calibri" w:asciiTheme="minorAscii" w:hAnsiTheme="minorHAnsi"/>
      <w:color w:val="000000"/>
      <w:sz w:val="22"/>
    </w:rPr>
  </w:style>
  <w:style w:type="character" w:styleId="12">
    <w:name w:val="Гиперссылка1"/>
    <w:basedOn w:val="11"/>
    <w:link w:val="115"/>
    <w:qFormat/>
    <w:rPr>
      <w:color w:themeColor="hyperlink" w:val="0563C1"/>
      <w:u w:val="single"/>
    </w:rPr>
  </w:style>
  <w:style w:type="character" w:styleId="HeaderandFooter">
    <w:name w:val="Header and Footer"/>
    <w:link w:val="HeaderandFooter3"/>
    <w:qFormat/>
    <w:rPr>
      <w:rFonts w:ascii="XO Thames" w:hAnsi="XO Thames"/>
      <w:sz w:val="28"/>
    </w:rPr>
  </w:style>
  <w:style w:type="character" w:styleId="13">
    <w:name w:val="Оглавление 1 Знак"/>
    <w:link w:val="116"/>
    <w:qFormat/>
    <w:rPr>
      <w:rFonts w:ascii="XO Thames" w:hAnsi="XO Thames"/>
      <w:b/>
      <w:sz w:val="28"/>
    </w:rPr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Style13">
    <w:name w:val="Верхний колонтитул Знак"/>
    <w:basedOn w:val="14"/>
    <w:link w:val="110"/>
    <w:qFormat/>
    <w:rPr/>
  </w:style>
  <w:style w:type="character" w:styleId="14">
    <w:name w:val="Обычный1"/>
    <w:link w:val="117"/>
    <w:qFormat/>
    <w:rPr/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9">
    <w:name w:val="Оглавление 9 Знак"/>
    <w:link w:val="91"/>
    <w:qFormat/>
    <w:rPr>
      <w:rFonts w:ascii="XO Thames" w:hAnsi="XO Thames"/>
      <w:sz w:val="28"/>
    </w:rPr>
  </w:style>
  <w:style w:type="character" w:styleId="Caption1">
    <w:name w:val="Caption1"/>
    <w:qFormat/>
    <w:rPr>
      <w:rFonts w:ascii="Times New Roman" w:hAnsi="Times New Roman"/>
      <w:i/>
      <w:sz w:val="28"/>
    </w:rPr>
  </w:style>
  <w:style w:type="character" w:styleId="HeaderandFooter2">
    <w:name w:val="Header and Footer2"/>
    <w:link w:val="HeaderandFooter21"/>
    <w:qFormat/>
    <w:rPr/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Style14">
    <w:name w:val="Указатель"/>
    <w:link w:val="112"/>
    <w:qFormat/>
    <w:rPr>
      <w:rFonts w:ascii="Times New Roman" w:hAnsi="Times New Roman"/>
    </w:rPr>
  </w:style>
  <w:style w:type="character" w:styleId="Heading21">
    <w:name w:val="Heading 21"/>
    <w:qFormat/>
    <w:rPr>
      <w:rFonts w:ascii="XO Thames" w:hAnsi="XO Thames"/>
      <w:b/>
      <w:color w:val="000000"/>
      <w:sz w:val="28"/>
    </w:rPr>
  </w:style>
  <w:style w:type="paragraph" w:styleId="15">
    <w:name w:val="Заголовок1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/>
    </w:rPr>
  </w:style>
  <w:style w:type="paragraph" w:styleId="Caption">
    <w:name w:val="Caption"/>
    <w:basedOn w:val="Normal"/>
    <w:qFormat/>
    <w:pPr>
      <w:spacing w:before="120" w:after="120"/>
    </w:pPr>
    <w:rPr>
      <w:rFonts w:ascii="Times New Roman" w:hAnsi="Times New Roman"/>
      <w:i/>
      <w:sz w:val="28"/>
    </w:rPr>
  </w:style>
  <w:style w:type="paragraph" w:styleId="16">
    <w:name w:val="Указатель1"/>
    <w:basedOn w:val="Normal"/>
    <w:qFormat/>
    <w:pPr>
      <w:suppressLineNumbers/>
    </w:pPr>
    <w:rPr>
      <w:rFonts w:ascii="Times New Roman" w:hAnsi="Times New Roman" w:cs="Lucida Sans"/>
    </w:rPr>
  </w:style>
  <w:style w:type="paragraph" w:styleId="111">
    <w:name w:val="Заголовок11"/>
    <w:basedOn w:val="Normal"/>
    <w:next w:val="BodyText"/>
    <w:link w:val="Style9"/>
    <w:qFormat/>
    <w:pPr>
      <w:keepNext w:val="true"/>
      <w:spacing w:before="240" w:after="120"/>
    </w:pPr>
    <w:rPr>
      <w:rFonts w:ascii="Times New Roman" w:hAnsi="Times New Roman"/>
      <w:sz w:val="28"/>
    </w:rPr>
  </w:style>
  <w:style w:type="paragraph" w:styleId="112">
    <w:name w:val="Указатель11"/>
    <w:basedOn w:val="Normal"/>
    <w:link w:val="Style14"/>
    <w:qFormat/>
    <w:pPr/>
    <w:rPr>
      <w:rFonts w:ascii="Times New Roman" w:hAnsi="Times New Roma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1">
    <w:name w:val="Заголовок 2 Знак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erandFooter11">
    <w:name w:val="Header and Footer11"/>
    <w:link w:val="HeaderandFooter1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 Знак1"/>
    <w:link w:val="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11">
    <w:name w:val="Заголовок 4 Знак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11">
    <w:name w:val="Оглавление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3">
    <w:name w:val="Header and Footer3"/>
    <w:link w:val="HeaderandFooter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4">
    <w:name w:val="Header and Footer4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7">
    <w:name w:val="Заголовок Знак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2">
    <w:name w:val="Оглавление 4 Знак1"/>
    <w:link w:val="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12">
    <w:name w:val="Оглавление 5 Знак1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8">
    <w:name w:val="Подзаголовок Знак1"/>
    <w:link w:val="Sty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81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2">
    <w:name w:val="Оглавление 2 Знак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2">
    <w:name w:val="Заголовок 3 Знак1"/>
    <w:link w:val="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9">
    <w:name w:val="Нижний колонтитул Знак1"/>
    <w:basedOn w:val="117"/>
    <w:link w:val="Style12"/>
    <w:qFormat/>
    <w:pPr/>
    <w:rPr>
      <w:rFonts w:ascii="Times New Roman" w:hAnsi="Times New Roman"/>
      <w:sz w:val="28"/>
    </w:rPr>
  </w:style>
  <w:style w:type="paragraph" w:styleId="113">
    <w:name w:val="Заголовок 1 Знак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themeColor="hyperlink" w:val="0563C1"/>
      <w:u w:val="single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114">
    <w:name w:val="Основной шрифт абзаца11"/>
    <w:link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5">
    <w:name w:val="Гиперссылка11"/>
    <w:basedOn w:val="114"/>
    <w:link w:val="12"/>
    <w:qFormat/>
    <w:pPr/>
    <w:rPr>
      <w:color w:themeColor="hyperlink" w:val="0563C1"/>
      <w:u w:val="single"/>
    </w:rPr>
  </w:style>
  <w:style w:type="paragraph" w:styleId="116">
    <w:name w:val="Оглавление 1 Знак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0">
    <w:name w:val="Верхний колонтитул Знак1"/>
    <w:basedOn w:val="117"/>
    <w:link w:val="Style13"/>
    <w:qFormat/>
    <w:pPr/>
    <w:rPr/>
  </w:style>
  <w:style w:type="paragraph" w:styleId="117">
    <w:name w:val="Обычный1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9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21">
    <w:name w:val="Header and Footer21"/>
    <w:basedOn w:val="Normal"/>
    <w:link w:val="HeaderandFooter2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57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58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59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LibreOffice/24.2.7.2$Windows_X86_64 LibreOffice_project/ee3885777aa7032db5a9b65deec9457448a91162</Application>
  <AppVersion>15.0000</AppVersion>
  <Pages>2</Pages>
  <Words>459</Words>
  <Characters>3188</Characters>
  <CharactersWithSpaces>3633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2024-11-14T14:37:08Z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