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40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4"/>
      </w:tblGrid>
      <w:tr>
        <w:trPr/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30" w:right="0"/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Об утверждении Порядка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Камчатского края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статьи 12.1 Федерального закона от 24 июля 1998 года </w:t>
        <w:br/>
        <w:t xml:space="preserve">№ 124-ФЗ «Об основных гарантиях прав ребенка в Российской Федерации», в целях создания равного доступа к отдыху и оздоровлению детей-инвалидов и детей с ограниченными возможностями здоровья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прилагаемый Порядок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января 2025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Style_3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78"/>
        <w:gridCol w:w="483"/>
        <w:gridCol w:w="3668"/>
        <w:gridCol w:w="480"/>
        <w:gridCol w:w="1869"/>
        <w:gridCol w:w="489"/>
        <w:gridCol w:w="1691"/>
      </w:tblGrid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b/>
        </w:rPr>
      </w:pPr>
      <w:r>
        <w:rPr>
          <w:rFonts w:ascii="Times New Roman" w:hAnsi="Times New Roman"/>
          <w:b/>
          <w:sz w:val="28"/>
        </w:rPr>
        <w:t>Порядок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Камчатского края (далее — Порядок)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rFonts w:ascii="Times New Roman" w:hAnsi="Times New Roman"/>
          <w:b w:val="false"/>
          <w:sz w:val="28"/>
        </w:rPr>
        <w:t>1. Настоящий Порядок определяет правила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на территории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rFonts w:ascii="Times New Roman" w:hAnsi="Times New Roman"/>
          <w:b w:val="false"/>
          <w:sz w:val="28"/>
        </w:rPr>
        <w:t>2. В целях настоящего Порядка используются следующие понятия: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1) организации отдыха детей – государственные и муниципальные организации отдыха детей и их оздоровления, находящиеся в реестре организаций отдыха детей и их оздоровления Камчатского края;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2) </w:t>
      </w:r>
      <w:r>
        <w:rPr>
          <w:rFonts w:ascii="Times New Roman" w:hAnsi="Times New Roman"/>
          <w:sz w:val="28"/>
        </w:rPr>
        <w:t>ребенок-инвалид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жизнедеятельности, признанное в установленном порядке инвалидом;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3) ребенок с ограниченными возможностями здоровья – лицо в возрасте до 18 лет, которое имеет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4) квота – процентное соотношение доли мест в организациях отдыха детей для детей-инвалидов и детей с ограниченными возможностями здоровья, проживающих на территории Камчатского края, не имеющих медицинских противопоказаний для пребывания в данных организациях, указанных в пункте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13.06.2018 № 327н, к общему количеству мест в организациях отдыха детей;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5) квотированные места </w:t>
      </w:r>
      <w:r>
        <w:rPr>
          <w:rFonts w:ascii="Times New Roman" w:hAnsi="Times New Roman"/>
          <w:b w:val="false"/>
          <w:sz w:val="28"/>
          <w:shd w:fill="auto" w:val="clear"/>
        </w:rPr>
        <w:t>–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зарезервируемые</w:t>
      </w:r>
      <w:r>
        <w:rPr>
          <w:rFonts w:ascii="Times New Roman" w:hAnsi="Times New Roman"/>
          <w:b w:val="false"/>
          <w:sz w:val="28"/>
          <w:shd w:fill="auto" w:val="clear"/>
        </w:rPr>
        <w:t xml:space="preserve"> ме</w:t>
      </w:r>
      <w:r>
        <w:rPr>
          <w:rFonts w:ascii="Times New Roman" w:hAnsi="Times New Roman"/>
          <w:b w:val="false"/>
          <w:sz w:val="28"/>
        </w:rPr>
        <w:t>ста для детей-инвалидов и детей с ограниченными возможностями здоровья в организациях отдыха детей в соответствии с установленной квотой.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Ежегодный размер квоты для организаций отдыха детей, составляет не менее 5 процентов в каждую каникулярную смену.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расчете квотируемых мест применяются правила математического округления дробного значения до целых единиц.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Подтверждением выполнения квоты является наличие договора об организации отдыха и оздоровления ребенка-инвалида и ребенка с </w:t>
      </w:r>
      <w:r>
        <w:rPr>
          <w:rFonts w:ascii="Times New Roman" w:hAnsi="Times New Roman"/>
          <w:b w:val="false"/>
          <w:sz w:val="28"/>
        </w:rPr>
        <w:t>ограниченными возможностями здоровья</w:t>
      </w:r>
      <w:r>
        <w:rPr>
          <w:rFonts w:ascii="Times New Roman" w:hAnsi="Times New Roman"/>
          <w:sz w:val="28"/>
        </w:rPr>
        <w:t xml:space="preserve">, заключенного между организацией отдыха детей и родителями (законными представителями) данной категории детей с приложением документа, подтверждающего статус ребенка.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 случае отсутствия заявлений от родителей (законных представителей) детей-инвалидов и детей с ограниченными возможностями здоровья о направлении на отдых и оздоровление места, предусмотренные для данной категории детей в организации отдыха детей, в соответствии с квотой, за 10 рабочих дней перераспределяются </w:t>
      </w:r>
      <w:r>
        <w:rPr>
          <w:rFonts w:ascii="Times New Roman" w:hAnsi="Times New Roman"/>
          <w:sz w:val="28"/>
        </w:rPr>
        <w:t xml:space="preserve">между </w:t>
      </w:r>
      <w:r>
        <w:rPr>
          <w:rFonts w:ascii="Times New Roman" w:hAnsi="Times New Roman"/>
          <w:sz w:val="28"/>
        </w:rPr>
        <w:t>другим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категориям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детей.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6. В целях обеспечения выполнения квоты организации отдыха детей ежегодно до 1 марта предоставляют в Министерство образования Камчатского края (далее – Министерство) по установленной им форме информацию о количестве квотированных мест.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rFonts w:ascii="Times New Roman" w:hAnsi="Times New Roman"/>
          <w:b w:val="false"/>
          <w:sz w:val="28"/>
        </w:rPr>
        <w:t>Места для отдыха и оздоровления детей-инвалидов и детей с ограниченными возможностями здоровья считаются выделенными, если организациями отдыха детей в установленном порядке предоставлена информация в Министерство о количестве квотированных мест.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color w:val="000000"/>
          <w:spacing w:val="0"/>
          <w:sz w:val="28"/>
        </w:rPr>
        <w:t>7. Организации отдыха детей ежегодно не позднее 31 января года, следующего за отчетным, представляют в Министерство отчет о выполнении квоты по форме, установленной Министерством.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  <w:shd w:fill="FFE779" w:val="clear"/>
        </w:rPr>
      </w:pPr>
      <w:r>
        <w:rPr/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64" w:before="0" w:after="160"/>
        <w:jc w:val="left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1">
    <w:name w:val="Указатель1"/>
    <w:link w:val="121"/>
    <w:qFormat/>
    <w:rPr/>
  </w:style>
  <w:style w:type="character" w:styleId="Contents1">
    <w:name w:val="Contents 1"/>
    <w:link w:val="Contents12"/>
    <w:qFormat/>
    <w:rPr>
      <w:rFonts w:ascii="XO Thames" w:hAnsi="XO Thames"/>
      <w:b/>
      <w:color w:val="000000"/>
      <w:sz w:val="28"/>
    </w:rPr>
  </w:style>
  <w:style w:type="character" w:styleId="51">
    <w:name w:val="Оглавление 5 Знак1"/>
    <w:link w:val="5111"/>
    <w:qFormat/>
    <w:rPr>
      <w:rFonts w:ascii="XO Thames" w:hAnsi="XO Thames"/>
      <w:color w:val="000000"/>
      <w:spacing w:val="0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z w:val="4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11">
    <w:name w:val="Заголовок11"/>
    <w:link w:val="1121"/>
    <w:qFormat/>
    <w:rPr>
      <w:rFonts w:ascii="Open Sans" w:hAnsi="Open Sans"/>
      <w:sz w:val="28"/>
    </w:rPr>
  </w:style>
  <w:style w:type="character" w:styleId="List1">
    <w:name w:val="List1"/>
    <w:basedOn w:val="Textbody"/>
    <w:link w:val="List11"/>
    <w:qFormat/>
    <w:rPr/>
  </w:style>
  <w:style w:type="character" w:styleId="111">
    <w:name w:val="Заголовок111"/>
    <w:link w:val="11121"/>
    <w:qFormat/>
    <w:rPr>
      <w:rFonts w:ascii="Open Sans" w:hAnsi="Open Sans"/>
      <w:sz w:val="28"/>
    </w:rPr>
  </w:style>
  <w:style w:type="character" w:styleId="112">
    <w:name w:val="Основной шрифт абзаца11"/>
    <w:link w:val="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Contents8">
    <w:name w:val="Contents 8"/>
    <w:link w:val="Contents82"/>
    <w:qFormat/>
    <w:rPr>
      <w:rFonts w:ascii="XO Thames" w:hAnsi="XO Thames"/>
      <w:color w:val="000000"/>
      <w:sz w:val="28"/>
    </w:rPr>
  </w:style>
  <w:style w:type="character" w:styleId="Heading11">
    <w:name w:val="Heading 11"/>
    <w:link w:val="Heading111"/>
    <w:qFormat/>
    <w:rPr>
      <w:rFonts w:ascii="XO Thames" w:hAnsi="XO Thames"/>
      <w:b/>
      <w:color w:val="000000"/>
      <w:sz w:val="32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113">
    <w:name w:val="Гиперссылка11"/>
    <w:basedOn w:val="112"/>
    <w:link w:val="1114"/>
    <w:qFormat/>
    <w:rPr>
      <w:color w:themeColor="hyperlink" w:val="0563C1"/>
      <w:u w:val="single"/>
    </w:rPr>
  </w:style>
  <w:style w:type="character" w:styleId="12">
    <w:name w:val="Колонтитул1"/>
    <w:link w:val="118"/>
    <w:qFormat/>
    <w:rPr>
      <w:rFonts w:ascii="XO Thames" w:hAnsi="XO Thames"/>
      <w:color w:val="000000"/>
      <w:spacing w:val="0"/>
      <w:sz w:val="20"/>
    </w:rPr>
  </w:style>
  <w:style w:type="character" w:styleId="Header1">
    <w:name w:val="Header1"/>
    <w:qFormat/>
    <w:rPr/>
  </w:style>
  <w:style w:type="character" w:styleId="4">
    <w:name w:val="Колонтитул4"/>
    <w:link w:val="412"/>
    <w:qFormat/>
    <w:rPr/>
  </w:style>
  <w:style w:type="character" w:styleId="21">
    <w:name w:val="Оглавление 2 Знак1"/>
    <w:link w:val="2111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color w:val="000000"/>
      <w:sz w:val="28"/>
    </w:rPr>
  </w:style>
  <w:style w:type="character" w:styleId="511">
    <w:name w:val="Заголовок 5 Знак1"/>
    <w:link w:val="5112"/>
    <w:qFormat/>
    <w:rPr>
      <w:rFonts w:ascii="XO Thames" w:hAnsi="XO Thames"/>
      <w:b/>
      <w:color w:val="000000"/>
      <w:spacing w:val="0"/>
      <w:sz w:val="22"/>
    </w:rPr>
  </w:style>
  <w:style w:type="character" w:styleId="2">
    <w:name w:val="Колонтитул2"/>
    <w:link w:val="212"/>
    <w:qFormat/>
    <w:rPr/>
  </w:style>
  <w:style w:type="character" w:styleId="Contents61">
    <w:name w:val="Contents 61"/>
    <w:link w:val="Contents62"/>
    <w:qFormat/>
    <w:rPr>
      <w:rFonts w:ascii="XO Thames" w:hAnsi="XO Thames"/>
      <w:color w:val="000000"/>
      <w:sz w:val="28"/>
    </w:rPr>
  </w:style>
  <w:style w:type="character" w:styleId="31">
    <w:name w:val="Оглавление 3 Знак1"/>
    <w:link w:val="3111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link w:val="Heading211"/>
    <w:qFormat/>
    <w:rPr>
      <w:rFonts w:ascii="XO Thames" w:hAnsi="XO Thames"/>
      <w:b/>
      <w:color w:val="00000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41">
    <w:name w:val="Оглавление 4 Знак1"/>
    <w:link w:val="4111"/>
    <w:qFormat/>
    <w:rPr>
      <w:rFonts w:ascii="XO Thames" w:hAnsi="XO Thames"/>
      <w:color w:val="000000"/>
      <w:spacing w:val="0"/>
      <w:sz w:val="28"/>
    </w:rPr>
  </w:style>
  <w:style w:type="character" w:styleId="List2">
    <w:name w:val="List2"/>
    <w:basedOn w:val="Textbody1"/>
    <w:qFormat/>
    <w:rPr/>
  </w:style>
  <w:style w:type="character" w:styleId="Contents31">
    <w:name w:val="Contents 31"/>
    <w:link w:val="Contents32"/>
    <w:qFormat/>
    <w:rPr>
      <w:rFonts w:ascii="XO Thames" w:hAnsi="XO Thames"/>
      <w:color w:val="000000"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color w:val="000000"/>
      <w:sz w:val="24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z w:val="24"/>
    </w:rPr>
  </w:style>
  <w:style w:type="character" w:styleId="Caption1">
    <w:name w:val="Caption1"/>
    <w:link w:val="Caption11"/>
    <w:qFormat/>
    <w:rPr>
      <w:i/>
      <w:sz w:val="24"/>
    </w:rPr>
  </w:style>
  <w:style w:type="character" w:styleId="Caption2">
    <w:name w:val="Caption2"/>
    <w:qFormat/>
    <w:rPr>
      <w:i/>
      <w:sz w:val="24"/>
    </w:rPr>
  </w:style>
  <w:style w:type="character" w:styleId="114">
    <w:name w:val="Оглавление 1 Знак1"/>
    <w:link w:val="1115"/>
    <w:qFormat/>
    <w:rPr>
      <w:rFonts w:ascii="XO Thames" w:hAnsi="XO Thames"/>
      <w:b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z w:val="22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411">
    <w:name w:val="Заголовок 4 Знак1"/>
    <w:link w:val="4112"/>
    <w:qFormat/>
    <w:rPr>
      <w:rFonts w:ascii="XO Thames" w:hAnsi="XO Thames"/>
      <w:b/>
      <w:color w:val="000000"/>
      <w:spacing w:val="0"/>
      <w:sz w:val="24"/>
    </w:rPr>
  </w:style>
  <w:style w:type="character" w:styleId="13">
    <w:name w:val="Название Знак1"/>
    <w:link w:val="119"/>
    <w:qFormat/>
    <w:rPr>
      <w:rFonts w:ascii="XO Thames" w:hAnsi="XO Thames"/>
      <w:b/>
      <w:caps/>
      <w:color w:val="000000"/>
      <w:spacing w:val="0"/>
      <w:sz w:val="40"/>
    </w:rPr>
  </w:style>
  <w:style w:type="character" w:styleId="Footer11">
    <w:name w:val="Footer11"/>
    <w:link w:val="Footer12"/>
    <w:qFormat/>
    <w:rPr>
      <w:rFonts w:ascii="Times New Roman" w:hAnsi="Times New Roman"/>
      <w:sz w:val="28"/>
    </w:rPr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Heading311">
    <w:name w:val="Heading 311"/>
    <w:link w:val="Heading312"/>
    <w:qFormat/>
    <w:rPr>
      <w:rFonts w:ascii="XO Thames" w:hAnsi="XO Thames"/>
      <w:b/>
      <w:color w:val="000000"/>
      <w:sz w:val="26"/>
    </w:rPr>
  </w:style>
  <w:style w:type="character" w:styleId="211">
    <w:name w:val="Заголовок 2 Знак1"/>
    <w:link w:val="2112"/>
    <w:qFormat/>
    <w:rPr>
      <w:rFonts w:ascii="XO Thames" w:hAnsi="XO Thames"/>
      <w:b/>
      <w:color w:val="000000"/>
      <w:spacing w:val="0"/>
      <w:sz w:val="28"/>
    </w:rPr>
  </w:style>
  <w:style w:type="character" w:styleId="115">
    <w:name w:val="Указатель11"/>
    <w:link w:val="1122"/>
    <w:qFormat/>
    <w:rPr/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1111">
    <w:name w:val="Заголовок1111"/>
    <w:link w:val="111111"/>
    <w:qFormat/>
    <w:rPr>
      <w:rFonts w:ascii="Open Sans" w:hAnsi="Open Sans"/>
      <w:sz w:val="28"/>
    </w:rPr>
  </w:style>
  <w:style w:type="character" w:styleId="14">
    <w:name w:val="Нижний колонтитул Знак1"/>
    <w:basedOn w:val="116"/>
    <w:link w:val="1110"/>
    <w:qFormat/>
    <w:rPr>
      <w:rFonts w:ascii="Times New Roman" w:hAnsi="Times New Roman"/>
      <w:sz w:val="28"/>
    </w:rPr>
  </w:style>
  <w:style w:type="character" w:styleId="81">
    <w:name w:val="Оглавление 8 Знак1"/>
    <w:link w:val="811"/>
    <w:qFormat/>
    <w:rPr>
      <w:rFonts w:ascii="XO Thames" w:hAnsi="XO Thames"/>
      <w:color w:val="000000"/>
      <w:spacing w:val="0"/>
      <w:sz w:val="28"/>
    </w:rPr>
  </w:style>
  <w:style w:type="character" w:styleId="Hyperlink">
    <w:name w:val="Hyperlink"/>
    <w:basedOn w:val="DefaultParagraphFont1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61">
    <w:name w:val="Оглавление 6 Знак1"/>
    <w:link w:val="611"/>
    <w:qFormat/>
    <w:rPr>
      <w:rFonts w:ascii="XO Thames" w:hAnsi="XO Thames"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1112">
    <w:name w:val="Указатель111"/>
    <w:link w:val="11122"/>
    <w:qFormat/>
    <w:rPr/>
  </w:style>
  <w:style w:type="character" w:styleId="Contents9">
    <w:name w:val="Contents 9"/>
    <w:link w:val="Contents92"/>
    <w:qFormat/>
    <w:rPr>
      <w:rFonts w:ascii="XO Thames" w:hAnsi="XO Thames"/>
      <w:color w:val="000000"/>
      <w:sz w:val="28"/>
    </w:rPr>
  </w:style>
  <w:style w:type="character" w:styleId="3">
    <w:name w:val="Колонтитул3"/>
    <w:link w:val="312"/>
    <w:qFormat/>
    <w:rPr/>
  </w:style>
  <w:style w:type="character" w:styleId="71">
    <w:name w:val="Оглавление 7 Знак1"/>
    <w:link w:val="711"/>
    <w:qFormat/>
    <w:rPr>
      <w:rFonts w:ascii="XO Thames" w:hAnsi="XO Thames"/>
      <w:color w:val="000000"/>
      <w:spacing w:val="0"/>
      <w:sz w:val="28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15">
    <w:name w:val="Заголовок1"/>
    <w:link w:val="122"/>
    <w:qFormat/>
    <w:rPr>
      <w:rFonts w:ascii="Open Sans" w:hAnsi="Open Sans"/>
      <w:sz w:val="28"/>
    </w:rPr>
  </w:style>
  <w:style w:type="character" w:styleId="116">
    <w:name w:val="Обычный11"/>
    <w:link w:val="1116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">
    <w:name w:val="Contents 5"/>
    <w:link w:val="Contents52"/>
    <w:qFormat/>
    <w:rPr>
      <w:rFonts w:ascii="XO Thames" w:hAnsi="XO Thames"/>
      <w:color w:val="000000"/>
      <w:sz w:val="28"/>
    </w:rPr>
  </w:style>
  <w:style w:type="character" w:styleId="Textbody">
    <w:name w:val="Text body"/>
    <w:link w:val="Textbody2"/>
    <w:qFormat/>
    <w:rPr/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16">
    <w:name w:val="Подзаголовок Знак1"/>
    <w:link w:val="1117"/>
    <w:qFormat/>
    <w:rPr>
      <w:rFonts w:ascii="XO Thames" w:hAnsi="XO Thames"/>
      <w:i/>
      <w:color w:val="000000"/>
      <w:spacing w:val="0"/>
      <w:sz w:val="24"/>
    </w:rPr>
  </w:style>
  <w:style w:type="character" w:styleId="11111">
    <w:name w:val="Указатель1111"/>
    <w:link w:val="111112"/>
    <w:qFormat/>
    <w:rPr/>
  </w:style>
  <w:style w:type="character" w:styleId="Internetlink">
    <w:name w:val="Internet link"/>
    <w:basedOn w:val="DefaultParagraphFont1"/>
    <w:link w:val="Internetlink2"/>
    <w:qFormat/>
    <w:rPr>
      <w:color w:themeColor="hyperlink" w:val="0563C1"/>
      <w:u w:val="single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Textbody1">
    <w:name w:val="Text body1"/>
    <w:qFormat/>
    <w:rPr/>
  </w:style>
  <w:style w:type="character" w:styleId="17">
    <w:name w:val="Верхний колонтитул Знак1"/>
    <w:basedOn w:val="116"/>
    <w:link w:val="1118"/>
    <w:qFormat/>
    <w:rPr/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91">
    <w:name w:val="Оглавление 9 Знак1"/>
    <w:link w:val="911"/>
    <w:qFormat/>
    <w:rPr>
      <w:rFonts w:ascii="XO Thames" w:hAnsi="XO Thames"/>
      <w:color w:val="000000"/>
      <w:spacing w:val="0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311">
    <w:name w:val="Заголовок 3 Знак1"/>
    <w:link w:val="3112"/>
    <w:qFormat/>
    <w:rPr>
      <w:rFonts w:ascii="XO Thames" w:hAnsi="XO Thames"/>
      <w:b/>
      <w:color w:val="000000"/>
      <w:spacing w:val="0"/>
      <w:sz w:val="26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z w:val="28"/>
    </w:rPr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er11">
    <w:name w:val="Header11"/>
    <w:link w:val="Header12"/>
    <w:qFormat/>
    <w:rPr/>
  </w:style>
  <w:style w:type="character" w:styleId="117">
    <w:name w:val="Заголовок 1 Знак1"/>
    <w:link w:val="1119"/>
    <w:qFormat/>
    <w:rPr>
      <w:rFonts w:ascii="XO Thames" w:hAnsi="XO Thames"/>
      <w:b/>
      <w:color w:val="000000"/>
      <w:spacing w:val="0"/>
      <w:sz w:val="32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z w:val="28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121">
    <w:name w:val="Указатель12"/>
    <w:basedOn w:val="Normal"/>
    <w:link w:val="1"/>
    <w:qFormat/>
    <w:pPr/>
    <w:rPr/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111">
    <w:name w:val="Оглавление 5 Знак11"/>
    <w:link w:val="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21">
    <w:name w:val="Заголовок112"/>
    <w:basedOn w:val="Normal"/>
    <w:next w:val="BodyText"/>
    <w:link w:val="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List11">
    <w:name w:val="List11"/>
    <w:basedOn w:val="Textbody2"/>
    <w:link w:val="List1"/>
    <w:qFormat/>
    <w:pPr/>
    <w:rPr/>
  </w:style>
  <w:style w:type="paragraph" w:styleId="11121">
    <w:name w:val="Заголовок1112"/>
    <w:basedOn w:val="Normal"/>
    <w:next w:val="BodyText"/>
    <w:link w:val="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3">
    <w:name w:val="Основной шрифт абзаца111"/>
    <w:link w:val="112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4">
    <w:name w:val="Гиперссылка111"/>
    <w:basedOn w:val="1113"/>
    <w:link w:val="113"/>
    <w:qFormat/>
    <w:pPr/>
    <w:rPr>
      <w:color w:themeColor="hyperlink" w:val="0563C1"/>
      <w:u w:val="single"/>
    </w:rPr>
  </w:style>
  <w:style w:type="paragraph" w:styleId="118">
    <w:name w:val="Колонтитул11"/>
    <w:link w:val="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412">
    <w:name w:val="Колонтитул41"/>
    <w:basedOn w:val="Normal"/>
    <w:link w:val="4"/>
    <w:qFormat/>
    <w:pPr/>
    <w:rPr/>
  </w:style>
  <w:style w:type="paragraph" w:styleId="2111">
    <w:name w:val="Оглавление 2 Знак11"/>
    <w:link w:val="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2">
    <w:name w:val="Заголовок 5 Знак11"/>
    <w:link w:val="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12">
    <w:name w:val="Колонтитул21"/>
    <w:basedOn w:val="Normal"/>
    <w:link w:val="2"/>
    <w:qFormat/>
    <w:pPr/>
    <w:rPr/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">
    <w:name w:val="Оглавление 3 Знак11"/>
    <w:link w:val="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">
    <w:name w:val="Оглавление 4 Знак11"/>
    <w:link w:val="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11">
    <w:name w:val="Caption11"/>
    <w:link w:val="Caption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5">
    <w:name w:val="Оглавление 1 Знак11"/>
    <w:link w:val="1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4112">
    <w:name w:val="Заголовок 4 Знак11"/>
    <w:link w:val="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9">
    <w:name w:val="Название Знак11"/>
    <w:link w:val="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112">
    <w:name w:val="Заголовок 2 Знак11"/>
    <w:link w:val="2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22">
    <w:name w:val="Указатель112"/>
    <w:basedOn w:val="Normal"/>
    <w:link w:val="115"/>
    <w:qFormat/>
    <w:pPr/>
    <w:rPr/>
  </w:style>
  <w:style w:type="paragraph" w:styleId="111111">
    <w:name w:val="Заголовок11111"/>
    <w:basedOn w:val="Normal"/>
    <w:next w:val="BodyText"/>
    <w:link w:val="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0">
    <w:name w:val="Нижний колонтитул Знак11"/>
    <w:basedOn w:val="1116"/>
    <w:link w:val="14"/>
    <w:qFormat/>
    <w:pPr/>
    <w:rPr>
      <w:rFonts w:ascii="Times New Roman" w:hAnsi="Times New Roman"/>
      <w:sz w:val="28"/>
    </w:rPr>
  </w:style>
  <w:style w:type="paragraph" w:styleId="811">
    <w:name w:val="Оглавление 8 Знак11"/>
    <w:link w:val="8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611">
    <w:name w:val="Оглавление 6 Знак11"/>
    <w:link w:val="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2">
    <w:name w:val="Указатель1112"/>
    <w:basedOn w:val="Normal"/>
    <w:link w:val="1112"/>
    <w:qFormat/>
    <w:pPr/>
    <w:rPr/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2">
    <w:name w:val="Колонтитул31"/>
    <w:basedOn w:val="Normal"/>
    <w:link w:val="3"/>
    <w:qFormat/>
    <w:pPr/>
    <w:rPr/>
  </w:style>
  <w:style w:type="paragraph" w:styleId="711">
    <w:name w:val="Оглавление 7 Знак11"/>
    <w:link w:val="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">
    <w:name w:val="Заголовок12"/>
    <w:basedOn w:val="Normal"/>
    <w:next w:val="BodyText"/>
    <w:link w:val="15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6">
    <w:name w:val="Обычный111"/>
    <w:link w:val="1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">
    <w:name w:val="Text body2"/>
    <w:link w:val="Textbody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7">
    <w:name w:val="Подзаголовок Знак11"/>
    <w:link w:val="1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2">
    <w:name w:val="Указатель11111"/>
    <w:basedOn w:val="Normal"/>
    <w:link w:val="11111"/>
    <w:qFormat/>
    <w:pPr/>
    <w:rPr/>
  </w:style>
  <w:style w:type="paragraph" w:styleId="Internetlink2">
    <w:name w:val="Internet link2"/>
    <w:basedOn w:val="DefaultParagraphFont11"/>
    <w:link w:val="Internetlink"/>
    <w:qFormat/>
    <w:pPr/>
    <w:rPr>
      <w:color w:themeColor="hyperlink" w:val="0563C1"/>
      <w:u w:val="single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8">
    <w:name w:val="Верхний колонтитул Знак11"/>
    <w:basedOn w:val="1116"/>
    <w:link w:val="17"/>
    <w:qFormat/>
    <w:pPr/>
    <w:rPr/>
  </w:style>
  <w:style w:type="paragraph" w:styleId="Footnote21">
    <w:name w:val="Footnote21"/>
    <w:link w:val="Footnote2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911">
    <w:name w:val="Оглавление 9 Знак11"/>
    <w:link w:val="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3112">
    <w:name w:val="Заголовок 3 Знак11"/>
    <w:link w:val="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9">
    <w:name w:val="Заголовок 1 Знак11"/>
    <w:link w:val="11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90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LibreOffice/7.6.7.2$Linux_X86_64 LibreOffice_project/60$Build-2</Application>
  <AppVersion>15.0000</AppVersion>
  <Pages>3</Pages>
  <Words>586</Words>
  <Characters>4101</Characters>
  <CharactersWithSpaces>4668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2024-11-07T17:25:06Z</dcterms:modified>
  <cp:revision>5</cp:revision>
  <dc:subject/>
  <dc:title/>
</cp:coreProperties>
</file>