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line="276" w:lineRule="auto"/>
        <w:rPr>
          <w:sz w:val="28"/>
          <w:szCs w:val="28"/>
        </w:rPr>
      </w:pPr>
      <w:bookmarkStart w:id="0" w:name="_GoBack"/>
      <w:bookmarkEnd w:id="0"/>
      <w:r w:rsidRPr="004549E8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line="360" w:lineRule="auto"/>
        <w:jc w:val="center"/>
        <w:rPr>
          <w:sz w:val="32"/>
          <w:szCs w:val="32"/>
        </w:rPr>
      </w:pPr>
    </w:p>
    <w:p w:rsidR="004549E8" w:rsidRDefault="004549E8" w:rsidP="004549E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46EC1" w:rsidRDefault="00F46EC1" w:rsidP="004E1446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7F7A62" w:rsidRDefault="00714F8B" w:rsidP="007F7A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</w:t>
      </w:r>
      <w:r w:rsidR="001B7D27">
        <w:rPr>
          <w:b/>
          <w:sz w:val="28"/>
          <w:szCs w:val="28"/>
        </w:rPr>
        <w:t xml:space="preserve"> ЛЕСНОГО</w:t>
      </w:r>
      <w:r>
        <w:rPr>
          <w:b/>
          <w:sz w:val="28"/>
          <w:szCs w:val="28"/>
        </w:rPr>
        <w:t xml:space="preserve"> И ОХОТНИЧЬЕГО</w:t>
      </w:r>
      <w:r w:rsidR="001B7D27">
        <w:rPr>
          <w:b/>
          <w:sz w:val="28"/>
          <w:szCs w:val="28"/>
        </w:rPr>
        <w:t xml:space="preserve"> ХОЗЯЙСТВА </w:t>
      </w:r>
    </w:p>
    <w:p w:rsidR="007F7A62" w:rsidRPr="00BC3DEA" w:rsidRDefault="007F7A62" w:rsidP="007F7A62">
      <w:pPr>
        <w:jc w:val="center"/>
        <w:rPr>
          <w:b/>
          <w:sz w:val="28"/>
          <w:szCs w:val="28"/>
        </w:rPr>
      </w:pPr>
      <w:r w:rsidRPr="00BC3DEA">
        <w:rPr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jc w:val="center"/>
      </w:pPr>
    </w:p>
    <w:p w:rsidR="00F76EF9" w:rsidRPr="00596604" w:rsidRDefault="00F76EF9" w:rsidP="00F76EF9">
      <w:pPr>
        <w:jc w:val="center"/>
        <w:rPr>
          <w:b/>
          <w:sz w:val="28"/>
          <w:szCs w:val="28"/>
        </w:rPr>
      </w:pPr>
      <w:r w:rsidRPr="00596604">
        <w:rPr>
          <w:b/>
          <w:sz w:val="28"/>
          <w:szCs w:val="28"/>
        </w:rPr>
        <w:t>ПРИКАЗ</w:t>
      </w:r>
    </w:p>
    <w:p w:rsidR="00F76EF9" w:rsidRPr="00741752" w:rsidRDefault="00F76EF9" w:rsidP="008E4107">
      <w:pPr>
        <w:jc w:val="center"/>
        <w:rPr>
          <w:sz w:val="28"/>
          <w:szCs w:val="28"/>
        </w:rPr>
      </w:pPr>
    </w:p>
    <w:p w:rsidR="001C4098" w:rsidRPr="00613A4F" w:rsidRDefault="001C4098" w:rsidP="001C4098">
      <w:pPr>
        <w:ind w:firstLine="709"/>
        <w:jc w:val="center"/>
        <w:rPr>
          <w:sz w:val="20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FC373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FC373B">
            <w:pPr>
              <w:ind w:left="142" w:hanging="142"/>
            </w:pPr>
            <w:bookmarkStart w:id="1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1"/>
          </w:p>
        </w:tc>
      </w:tr>
      <w:tr w:rsidR="0046569C" w:rsidTr="00FC373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FC373B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46569C" w:rsidTr="00FC373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FC373B">
            <w:pPr>
              <w:jc w:val="both"/>
              <w:rPr>
                <w:sz w:val="20"/>
              </w:rPr>
            </w:pPr>
          </w:p>
        </w:tc>
      </w:tr>
    </w:tbl>
    <w:p w:rsidR="00033533" w:rsidRPr="0074603C" w:rsidRDefault="00033533" w:rsidP="008F2B2C">
      <w:pPr>
        <w:ind w:firstLine="709"/>
        <w:jc w:val="both"/>
        <w:rPr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RPr="005E4DD2" w:rsidTr="00041215">
        <w:tc>
          <w:tcPr>
            <w:tcW w:w="9639" w:type="dxa"/>
          </w:tcPr>
          <w:p w:rsidR="00511C1F" w:rsidRDefault="005E4DD2" w:rsidP="00511C1F">
            <w:pPr>
              <w:ind w:left="30"/>
              <w:jc w:val="center"/>
              <w:rPr>
                <w:b/>
                <w:sz w:val="28"/>
                <w:szCs w:val="28"/>
              </w:rPr>
            </w:pPr>
            <w:r w:rsidRPr="005E4DD2">
              <w:rPr>
                <w:b/>
                <w:sz w:val="28"/>
                <w:szCs w:val="28"/>
              </w:rPr>
              <w:t>Об утверждении нормативов затрат</w:t>
            </w:r>
            <w:r w:rsidR="008E7445">
              <w:rPr>
                <w:b/>
                <w:sz w:val="28"/>
                <w:szCs w:val="28"/>
              </w:rPr>
              <w:t xml:space="preserve"> </w:t>
            </w:r>
            <w:r w:rsidRPr="005E4DD2">
              <w:rPr>
                <w:b/>
                <w:sz w:val="28"/>
                <w:szCs w:val="28"/>
              </w:rPr>
              <w:t>для определения размера вреда, причиненного лесам вследствие нарушения лесного законодательства</w:t>
            </w:r>
            <w:r w:rsidR="00FA24C5">
              <w:rPr>
                <w:b/>
                <w:sz w:val="28"/>
                <w:szCs w:val="28"/>
              </w:rPr>
              <w:t xml:space="preserve"> </w:t>
            </w:r>
          </w:p>
          <w:p w:rsidR="006E593A" w:rsidRPr="008E7445" w:rsidRDefault="00FA24C5" w:rsidP="00511C1F">
            <w:pPr>
              <w:ind w:left="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нормативов з</w:t>
            </w:r>
            <w:r w:rsidR="00511C1F">
              <w:rPr>
                <w:b/>
                <w:sz w:val="28"/>
                <w:szCs w:val="28"/>
              </w:rPr>
              <w:t xml:space="preserve">атрат </w:t>
            </w:r>
            <w:r w:rsidR="00426174">
              <w:rPr>
                <w:b/>
                <w:sz w:val="28"/>
                <w:szCs w:val="28"/>
              </w:rPr>
              <w:t>для</w:t>
            </w:r>
            <w:r w:rsidR="00122D78">
              <w:rPr>
                <w:b/>
                <w:sz w:val="28"/>
                <w:szCs w:val="28"/>
              </w:rPr>
              <w:t xml:space="preserve"> определения</w:t>
            </w:r>
            <w:r w:rsidR="00511C1F" w:rsidRPr="00511C1F">
              <w:rPr>
                <w:b/>
                <w:sz w:val="28"/>
                <w:szCs w:val="28"/>
              </w:rPr>
              <w:t xml:space="preserve"> размера неустойки за неисполнение или ненадлежащее исполнение обязательств по договорам аренды лесных участков и договорам купли-продажи лесных насаждений</w:t>
            </w:r>
          </w:p>
        </w:tc>
      </w:tr>
    </w:tbl>
    <w:p w:rsidR="004549E8" w:rsidRPr="005E4DD2" w:rsidRDefault="004549E8" w:rsidP="008F2B2C">
      <w:pPr>
        <w:ind w:firstLine="709"/>
        <w:jc w:val="both"/>
        <w:rPr>
          <w:b/>
          <w:sz w:val="28"/>
          <w:szCs w:val="28"/>
        </w:rPr>
      </w:pPr>
    </w:p>
    <w:p w:rsidR="004E00B2" w:rsidRPr="004549E8" w:rsidRDefault="004E00B2" w:rsidP="008F2B2C">
      <w:pPr>
        <w:ind w:firstLine="709"/>
        <w:jc w:val="both"/>
        <w:rPr>
          <w:sz w:val="28"/>
          <w:szCs w:val="28"/>
        </w:rPr>
      </w:pPr>
    </w:p>
    <w:p w:rsidR="00511C1F" w:rsidRDefault="00583478" w:rsidP="00583478">
      <w:pPr>
        <w:ind w:firstLine="708"/>
        <w:jc w:val="both"/>
        <w:rPr>
          <w:sz w:val="28"/>
          <w:szCs w:val="28"/>
        </w:rPr>
      </w:pPr>
      <w:r w:rsidRPr="00D26826">
        <w:rPr>
          <w:sz w:val="28"/>
          <w:szCs w:val="28"/>
        </w:rPr>
        <w:t xml:space="preserve">В </w:t>
      </w:r>
      <w:r w:rsidR="00D26826" w:rsidRPr="00D26826">
        <w:rPr>
          <w:sz w:val="28"/>
          <w:szCs w:val="28"/>
        </w:rPr>
        <w:t xml:space="preserve">соответствии с </w:t>
      </w:r>
      <w:r w:rsidR="00511C1F">
        <w:rPr>
          <w:sz w:val="28"/>
          <w:szCs w:val="28"/>
        </w:rPr>
        <w:t xml:space="preserve">частью 1 статьи 83 Лесного кодекса Российской Федерации, </w:t>
      </w:r>
      <w:r w:rsidR="009F2CA6">
        <w:rPr>
          <w:sz w:val="28"/>
          <w:szCs w:val="28"/>
        </w:rPr>
        <w:t xml:space="preserve">в </w:t>
      </w:r>
      <w:r w:rsidR="00122D78">
        <w:rPr>
          <w:sz w:val="28"/>
          <w:szCs w:val="28"/>
        </w:rPr>
        <w:t>целях определения размера вреда, причиненного лесам, в том числе лесным насаждениям или не отнесенным к лесным насаждениям вследствие нарушения лесного законо</w:t>
      </w:r>
      <w:r w:rsidR="004E5202">
        <w:rPr>
          <w:sz w:val="28"/>
          <w:szCs w:val="28"/>
        </w:rPr>
        <w:t xml:space="preserve">дательства, и </w:t>
      </w:r>
      <w:r w:rsidR="00122D78">
        <w:rPr>
          <w:sz w:val="28"/>
          <w:szCs w:val="28"/>
        </w:rPr>
        <w:t xml:space="preserve">размера неустойки за неисполнение или ненадлежащее исполнение обязательств по договорам аренды лесных (земельных) участков и договорам купли-продажи лесных насаждений </w:t>
      </w:r>
    </w:p>
    <w:p w:rsidR="00583478" w:rsidRPr="00935AC0" w:rsidRDefault="00583478" w:rsidP="00161A57">
      <w:pPr>
        <w:jc w:val="both"/>
        <w:rPr>
          <w:sz w:val="28"/>
          <w:szCs w:val="28"/>
        </w:rPr>
      </w:pPr>
    </w:p>
    <w:p w:rsidR="00583478" w:rsidRPr="00935AC0" w:rsidRDefault="00583478" w:rsidP="00583478">
      <w:pPr>
        <w:ind w:firstLine="709"/>
        <w:jc w:val="both"/>
        <w:rPr>
          <w:sz w:val="28"/>
          <w:szCs w:val="28"/>
        </w:rPr>
      </w:pPr>
      <w:r w:rsidRPr="00935AC0">
        <w:rPr>
          <w:sz w:val="28"/>
          <w:szCs w:val="28"/>
        </w:rPr>
        <w:t>ПРИКАЗЫВАЮ:</w:t>
      </w:r>
    </w:p>
    <w:p w:rsidR="00583478" w:rsidRPr="00F1025D" w:rsidRDefault="00583478" w:rsidP="00583478">
      <w:pPr>
        <w:ind w:firstLine="709"/>
        <w:jc w:val="both"/>
        <w:rPr>
          <w:bCs/>
          <w:sz w:val="28"/>
          <w:szCs w:val="28"/>
        </w:rPr>
      </w:pPr>
    </w:p>
    <w:p w:rsidR="00467B19" w:rsidRDefault="00467B19" w:rsidP="008F2B2C">
      <w:pPr>
        <w:ind w:firstLine="709"/>
        <w:jc w:val="both"/>
        <w:rPr>
          <w:sz w:val="28"/>
          <w:szCs w:val="28"/>
        </w:rPr>
      </w:pPr>
      <w:r w:rsidRPr="00467B19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467B19">
        <w:rPr>
          <w:sz w:val="28"/>
          <w:szCs w:val="28"/>
        </w:rPr>
        <w:t xml:space="preserve">Утвердить: </w:t>
      </w:r>
    </w:p>
    <w:p w:rsidR="00467B19" w:rsidRDefault="00467B19" w:rsidP="008F2B2C">
      <w:pPr>
        <w:ind w:firstLine="709"/>
        <w:jc w:val="both"/>
        <w:rPr>
          <w:sz w:val="28"/>
          <w:szCs w:val="28"/>
        </w:rPr>
      </w:pPr>
      <w:r w:rsidRPr="00467B19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467B19">
        <w:rPr>
          <w:sz w:val="28"/>
          <w:szCs w:val="28"/>
        </w:rPr>
        <w:t xml:space="preserve">нормативы затрат для определения размера вреда, причиненного лесам вследствие нарушения лесного законодательства, согласно приложению 1 </w:t>
      </w:r>
      <w:r>
        <w:rPr>
          <w:sz w:val="28"/>
          <w:szCs w:val="28"/>
        </w:rPr>
        <w:t xml:space="preserve">             </w:t>
      </w:r>
      <w:r w:rsidRPr="00467B19">
        <w:rPr>
          <w:sz w:val="28"/>
          <w:szCs w:val="28"/>
        </w:rPr>
        <w:t xml:space="preserve">к настоящему приказу; </w:t>
      </w:r>
    </w:p>
    <w:p w:rsidR="00161A57" w:rsidRDefault="00467B19" w:rsidP="00161A57">
      <w:pPr>
        <w:ind w:firstLine="709"/>
        <w:jc w:val="both"/>
        <w:rPr>
          <w:sz w:val="28"/>
          <w:szCs w:val="28"/>
        </w:rPr>
      </w:pPr>
      <w:r w:rsidRPr="00467B19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467B19">
        <w:rPr>
          <w:sz w:val="28"/>
          <w:szCs w:val="28"/>
        </w:rPr>
        <w:t xml:space="preserve">нормативы затрат </w:t>
      </w:r>
      <w:r w:rsidR="001F6296">
        <w:rPr>
          <w:sz w:val="28"/>
          <w:szCs w:val="28"/>
        </w:rPr>
        <w:t xml:space="preserve">для </w:t>
      </w:r>
      <w:r w:rsidR="00122D78">
        <w:rPr>
          <w:sz w:val="28"/>
          <w:szCs w:val="28"/>
        </w:rPr>
        <w:t>определения</w:t>
      </w:r>
      <w:r w:rsidR="00426174">
        <w:rPr>
          <w:sz w:val="28"/>
          <w:szCs w:val="28"/>
        </w:rPr>
        <w:t xml:space="preserve"> размера неустойки</w:t>
      </w:r>
      <w:r w:rsidR="00122D78" w:rsidRPr="00122D78">
        <w:rPr>
          <w:sz w:val="28"/>
          <w:szCs w:val="28"/>
        </w:rPr>
        <w:t xml:space="preserve"> за неисполнение или ненадлежащее исполнение обязательств по договорам аренды лесных участков и договорам купли-продажи лесных насаждений</w:t>
      </w:r>
      <w:r w:rsidRPr="00467B19">
        <w:rPr>
          <w:sz w:val="28"/>
          <w:szCs w:val="28"/>
        </w:rPr>
        <w:t xml:space="preserve">, согласно приложению 2 к настоящему приказу; </w:t>
      </w:r>
    </w:p>
    <w:p w:rsidR="00467B19" w:rsidRDefault="00161A57" w:rsidP="00161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70368">
        <w:rPr>
          <w:sz w:val="28"/>
          <w:szCs w:val="28"/>
        </w:rPr>
        <w:t>Установить, что:</w:t>
      </w:r>
    </w:p>
    <w:p w:rsidR="00977EA9" w:rsidRDefault="00467B19" w:rsidP="008F2B2C">
      <w:pPr>
        <w:ind w:firstLine="709"/>
        <w:jc w:val="both"/>
        <w:rPr>
          <w:sz w:val="28"/>
          <w:szCs w:val="28"/>
        </w:rPr>
      </w:pPr>
      <w:r w:rsidRPr="00467B19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467B19">
        <w:rPr>
          <w:sz w:val="28"/>
          <w:szCs w:val="28"/>
        </w:rPr>
        <w:t>в случае исчисления размера вреда, причиненного лесам вследствие нарушения лесного законодательства, в соответствии с таксами, установленными постановлением Правительства Российской Федерации от</w:t>
      </w:r>
      <w:r w:rsidR="00161A57">
        <w:rPr>
          <w:sz w:val="28"/>
          <w:szCs w:val="28"/>
        </w:rPr>
        <w:t> </w:t>
      </w:r>
      <w:r w:rsidRPr="00467B19">
        <w:rPr>
          <w:sz w:val="28"/>
          <w:szCs w:val="28"/>
        </w:rPr>
        <w:t>29.12.2018 №</w:t>
      </w:r>
      <w:r>
        <w:rPr>
          <w:sz w:val="28"/>
          <w:szCs w:val="28"/>
        </w:rPr>
        <w:t> </w:t>
      </w:r>
      <w:r w:rsidRPr="00467B19">
        <w:rPr>
          <w:sz w:val="28"/>
          <w:szCs w:val="28"/>
        </w:rPr>
        <w:t xml:space="preserve">1730 «Об утверждении особенностей возмещения вреда, </w:t>
      </w:r>
      <w:r w:rsidRPr="00467B19">
        <w:rPr>
          <w:sz w:val="28"/>
          <w:szCs w:val="28"/>
        </w:rPr>
        <w:lastRenderedPageBreak/>
        <w:t xml:space="preserve">причиненного лесам и находящимся в них природным объектам вследствие нарушения лесного законодательства», применяются </w:t>
      </w:r>
      <w:r w:rsidR="00977EA9">
        <w:rPr>
          <w:sz w:val="28"/>
          <w:szCs w:val="28"/>
        </w:rPr>
        <w:t>утвержденные</w:t>
      </w:r>
      <w:r w:rsidR="00977EA9" w:rsidRPr="00977EA9">
        <w:rPr>
          <w:sz w:val="28"/>
          <w:szCs w:val="28"/>
        </w:rPr>
        <w:t xml:space="preserve"> наст</w:t>
      </w:r>
      <w:r w:rsidR="00977EA9">
        <w:rPr>
          <w:sz w:val="28"/>
          <w:szCs w:val="28"/>
        </w:rPr>
        <w:t>о</w:t>
      </w:r>
      <w:r w:rsidR="00E1474B">
        <w:rPr>
          <w:sz w:val="28"/>
          <w:szCs w:val="28"/>
        </w:rPr>
        <w:t>ящим приказом нормативы затрат;</w:t>
      </w:r>
    </w:p>
    <w:p w:rsidR="00161A57" w:rsidRDefault="00467B19" w:rsidP="008F2B2C">
      <w:pPr>
        <w:ind w:firstLine="709"/>
        <w:jc w:val="both"/>
        <w:rPr>
          <w:sz w:val="28"/>
          <w:szCs w:val="28"/>
        </w:rPr>
      </w:pPr>
      <w:r w:rsidRPr="00467B19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="00977EA9">
        <w:rPr>
          <w:sz w:val="28"/>
          <w:szCs w:val="28"/>
        </w:rPr>
        <w:t>в случае определения</w:t>
      </w:r>
      <w:r w:rsidRPr="00467B19">
        <w:rPr>
          <w:sz w:val="28"/>
          <w:szCs w:val="28"/>
        </w:rPr>
        <w:t xml:space="preserve"> размера неустойки за неисполнение или ненадлежащее исполнение обязательств по договорам аренды лесных </w:t>
      </w:r>
      <w:r w:rsidR="00FC334E" w:rsidRPr="000C15D0">
        <w:rPr>
          <w:sz w:val="28"/>
          <w:szCs w:val="28"/>
        </w:rPr>
        <w:t xml:space="preserve">(земельных) </w:t>
      </w:r>
      <w:r w:rsidRPr="000C15D0">
        <w:rPr>
          <w:sz w:val="28"/>
          <w:szCs w:val="28"/>
        </w:rPr>
        <w:t>участков и договорам купли-продажи лесных насаждений</w:t>
      </w:r>
      <w:r w:rsidR="00161A57" w:rsidRPr="000C15D0">
        <w:rPr>
          <w:sz w:val="28"/>
          <w:szCs w:val="28"/>
        </w:rPr>
        <w:t>,</w:t>
      </w:r>
      <w:r w:rsidRPr="000C15D0">
        <w:rPr>
          <w:sz w:val="28"/>
          <w:szCs w:val="28"/>
        </w:rPr>
        <w:t xml:space="preserve"> </w:t>
      </w:r>
      <w:r w:rsidR="000C15D0">
        <w:rPr>
          <w:sz w:val="28"/>
          <w:szCs w:val="28"/>
        </w:rPr>
        <w:t xml:space="preserve">заключенных </w:t>
      </w:r>
      <w:r w:rsidR="00161A57">
        <w:rPr>
          <w:sz w:val="28"/>
          <w:szCs w:val="28"/>
        </w:rPr>
        <w:t xml:space="preserve">в соответствии с приказами Минприроды России от 30.07.2020 </w:t>
      </w:r>
      <w:r w:rsidR="000C15D0">
        <w:rPr>
          <w:sz w:val="28"/>
          <w:szCs w:val="28"/>
        </w:rPr>
        <w:t xml:space="preserve">      </w:t>
      </w:r>
      <w:r w:rsidR="00161A57">
        <w:rPr>
          <w:sz w:val="28"/>
          <w:szCs w:val="28"/>
        </w:rPr>
        <w:t>№ 542 «Об утверждении типовых договоров аренды лесных участков», от</w:t>
      </w:r>
      <w:r w:rsidR="000C15D0">
        <w:rPr>
          <w:sz w:val="28"/>
          <w:szCs w:val="28"/>
        </w:rPr>
        <w:t> </w:t>
      </w:r>
      <w:r w:rsidR="00161A57">
        <w:rPr>
          <w:sz w:val="28"/>
          <w:szCs w:val="28"/>
        </w:rPr>
        <w:t>27.07.2020 № 488 «</w:t>
      </w:r>
      <w:r w:rsidR="00161A57" w:rsidRPr="00161A57">
        <w:rPr>
          <w:sz w:val="28"/>
          <w:szCs w:val="28"/>
        </w:rPr>
        <w:t>Об утверждении типового договора купли-продажи лесных насаждений»,</w:t>
      </w:r>
      <w:r w:rsidR="00977EA9">
        <w:rPr>
          <w:sz w:val="28"/>
          <w:szCs w:val="28"/>
        </w:rPr>
        <w:t xml:space="preserve"> применяются утвержденные настоящим приказом нормативы затрат;</w:t>
      </w:r>
    </w:p>
    <w:p w:rsidR="00467B19" w:rsidRPr="00467B19" w:rsidRDefault="00977EA9" w:rsidP="00977E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467B19" w:rsidRPr="00467B19">
        <w:rPr>
          <w:sz w:val="28"/>
          <w:szCs w:val="28"/>
        </w:rPr>
        <w:t>в случае предварительной оценки потерь в результате лесного пожара</w:t>
      </w:r>
      <w:r>
        <w:rPr>
          <w:sz w:val="28"/>
          <w:szCs w:val="28"/>
        </w:rPr>
        <w:t xml:space="preserve">, </w:t>
      </w:r>
      <w:r w:rsidR="003644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приказом Минприроды России от 01.04.2022 № 244 «Об утверждении Правил тушения лесных пожаров», </w:t>
      </w:r>
      <w:r w:rsidR="00467B19" w:rsidRPr="00467B19">
        <w:rPr>
          <w:sz w:val="28"/>
          <w:szCs w:val="28"/>
        </w:rPr>
        <w:t xml:space="preserve">применяются </w:t>
      </w:r>
      <w:r>
        <w:rPr>
          <w:sz w:val="28"/>
          <w:szCs w:val="28"/>
        </w:rPr>
        <w:t xml:space="preserve">утвержденные </w:t>
      </w:r>
      <w:r w:rsidR="00E1474B">
        <w:rPr>
          <w:sz w:val="28"/>
          <w:szCs w:val="28"/>
        </w:rPr>
        <w:t xml:space="preserve">настоящим приказом нормативы затрат </w:t>
      </w:r>
      <w:r w:rsidR="00467B19" w:rsidRPr="00E1474B">
        <w:rPr>
          <w:sz w:val="28"/>
          <w:szCs w:val="28"/>
        </w:rPr>
        <w:t xml:space="preserve">на </w:t>
      </w:r>
      <w:r w:rsidRPr="00E1474B">
        <w:rPr>
          <w:sz w:val="28"/>
          <w:szCs w:val="28"/>
        </w:rPr>
        <w:t>дату</w:t>
      </w:r>
      <w:r w:rsidR="00467B19" w:rsidRPr="00E1474B">
        <w:rPr>
          <w:sz w:val="28"/>
          <w:szCs w:val="28"/>
        </w:rPr>
        <w:t xml:space="preserve"> </w:t>
      </w:r>
      <w:r w:rsidR="00467B19" w:rsidRPr="00467B19">
        <w:rPr>
          <w:sz w:val="28"/>
          <w:szCs w:val="28"/>
        </w:rPr>
        <w:t>составления акта о</w:t>
      </w:r>
      <w:r w:rsidR="00E1474B">
        <w:rPr>
          <w:sz w:val="28"/>
          <w:szCs w:val="28"/>
        </w:rPr>
        <w:t xml:space="preserve"> лесном пожаре.</w:t>
      </w:r>
    </w:p>
    <w:p w:rsidR="00161A57" w:rsidRDefault="00467B19" w:rsidP="002B780E">
      <w:pPr>
        <w:ind w:firstLine="709"/>
        <w:jc w:val="both"/>
        <w:rPr>
          <w:sz w:val="28"/>
          <w:szCs w:val="28"/>
        </w:rPr>
      </w:pPr>
      <w:r w:rsidRPr="00467B19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467B19">
        <w:rPr>
          <w:sz w:val="28"/>
          <w:szCs w:val="28"/>
        </w:rPr>
        <w:t xml:space="preserve">Должностным лицам </w:t>
      </w:r>
      <w:r w:rsidR="00470368">
        <w:rPr>
          <w:sz w:val="28"/>
          <w:szCs w:val="28"/>
        </w:rPr>
        <w:t>Министерства лесного и охотничьего хозяйства</w:t>
      </w:r>
      <w:r w:rsidR="002B780E">
        <w:rPr>
          <w:sz w:val="28"/>
          <w:szCs w:val="28"/>
        </w:rPr>
        <w:t xml:space="preserve"> Камчатского края и </w:t>
      </w:r>
      <w:r w:rsidRPr="00467B19">
        <w:rPr>
          <w:sz w:val="28"/>
          <w:szCs w:val="28"/>
        </w:rPr>
        <w:t>краевого государственного казенного учреждения «Камчат</w:t>
      </w:r>
      <w:r w:rsidR="00E1474B">
        <w:rPr>
          <w:sz w:val="28"/>
          <w:szCs w:val="28"/>
        </w:rPr>
        <w:t>ские лесничества» при определении</w:t>
      </w:r>
      <w:r w:rsidRPr="00467B19">
        <w:rPr>
          <w:sz w:val="28"/>
          <w:szCs w:val="28"/>
        </w:rPr>
        <w:t xml:space="preserve"> размера вреда, причиненного лесам вследствие нарушений лесного з</w:t>
      </w:r>
      <w:r w:rsidR="002B780E">
        <w:rPr>
          <w:sz w:val="28"/>
          <w:szCs w:val="28"/>
        </w:rPr>
        <w:t xml:space="preserve">аконодательства, при определении </w:t>
      </w:r>
      <w:r w:rsidRPr="00467B19">
        <w:rPr>
          <w:sz w:val="28"/>
          <w:szCs w:val="28"/>
        </w:rPr>
        <w:t>размера неустойки за неисполнение или нен</w:t>
      </w:r>
      <w:r w:rsidR="002B780E">
        <w:rPr>
          <w:sz w:val="28"/>
          <w:szCs w:val="28"/>
        </w:rPr>
        <w:t xml:space="preserve">адлежащее исполнение </w:t>
      </w:r>
      <w:r w:rsidRPr="00467B19">
        <w:rPr>
          <w:sz w:val="28"/>
          <w:szCs w:val="28"/>
        </w:rPr>
        <w:t>обязательств</w:t>
      </w:r>
      <w:r w:rsidR="002B780E">
        <w:rPr>
          <w:sz w:val="28"/>
          <w:szCs w:val="28"/>
        </w:rPr>
        <w:t xml:space="preserve"> по договорам аренды лесных </w:t>
      </w:r>
      <w:r w:rsidR="00057FE4" w:rsidRPr="000C15D0">
        <w:rPr>
          <w:sz w:val="28"/>
          <w:szCs w:val="28"/>
        </w:rPr>
        <w:t>(земельных)</w:t>
      </w:r>
      <w:r w:rsidR="00057FE4">
        <w:rPr>
          <w:sz w:val="28"/>
          <w:szCs w:val="28"/>
        </w:rPr>
        <w:t xml:space="preserve"> </w:t>
      </w:r>
      <w:r w:rsidR="002B780E">
        <w:rPr>
          <w:sz w:val="28"/>
          <w:szCs w:val="28"/>
        </w:rPr>
        <w:t>участков и договорам купли-продажи лесных насаждений, и в случае</w:t>
      </w:r>
      <w:r w:rsidRPr="00467B19">
        <w:rPr>
          <w:sz w:val="28"/>
          <w:szCs w:val="28"/>
        </w:rPr>
        <w:t xml:space="preserve"> предварительной оценки потерь в результате лесного пожара</w:t>
      </w:r>
      <w:r w:rsidR="003644EA">
        <w:rPr>
          <w:sz w:val="28"/>
          <w:szCs w:val="28"/>
        </w:rPr>
        <w:t>,</w:t>
      </w:r>
      <w:r w:rsidRPr="00467B19">
        <w:rPr>
          <w:sz w:val="28"/>
          <w:szCs w:val="28"/>
        </w:rPr>
        <w:t xml:space="preserve"> руководствоваться </w:t>
      </w:r>
      <w:r w:rsidR="002B780E">
        <w:rPr>
          <w:sz w:val="28"/>
          <w:szCs w:val="28"/>
        </w:rPr>
        <w:t>нормативами затрат, утвержденными настоящим приказом.</w:t>
      </w:r>
    </w:p>
    <w:p w:rsidR="00467B19" w:rsidRDefault="00467B19" w:rsidP="008F2B2C">
      <w:pPr>
        <w:ind w:firstLine="709"/>
        <w:jc w:val="both"/>
        <w:rPr>
          <w:sz w:val="28"/>
          <w:szCs w:val="28"/>
        </w:rPr>
      </w:pPr>
      <w:r w:rsidRPr="00467B19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="00470368">
        <w:rPr>
          <w:sz w:val="28"/>
          <w:szCs w:val="28"/>
        </w:rPr>
        <w:t>Егорову</w:t>
      </w:r>
      <w:r w:rsidRPr="00467B19">
        <w:rPr>
          <w:sz w:val="28"/>
          <w:szCs w:val="28"/>
        </w:rPr>
        <w:t xml:space="preserve"> </w:t>
      </w:r>
      <w:r w:rsidR="00470368">
        <w:rPr>
          <w:sz w:val="28"/>
          <w:szCs w:val="28"/>
        </w:rPr>
        <w:t>Д.</w:t>
      </w:r>
      <w:r w:rsidRPr="00467B19">
        <w:rPr>
          <w:sz w:val="28"/>
          <w:szCs w:val="28"/>
        </w:rPr>
        <w:t>В., начальнику отдела федерального государственного лесного надзора (контроля)</w:t>
      </w:r>
      <w:r w:rsidR="002B780E">
        <w:rPr>
          <w:sz w:val="28"/>
          <w:szCs w:val="28"/>
        </w:rPr>
        <w:t xml:space="preserve"> управления федерального государственного контроля (надзора) Министерства лесного и охотничьего хозяйства Камчатского края, после вступления в силу настоящего приказа</w:t>
      </w:r>
      <w:r w:rsidRPr="00467B19">
        <w:rPr>
          <w:sz w:val="28"/>
          <w:szCs w:val="28"/>
        </w:rPr>
        <w:t xml:space="preserve">: </w:t>
      </w:r>
    </w:p>
    <w:p w:rsidR="00467B19" w:rsidRDefault="00467B19" w:rsidP="008F2B2C">
      <w:pPr>
        <w:ind w:firstLine="709"/>
        <w:jc w:val="both"/>
        <w:rPr>
          <w:sz w:val="28"/>
          <w:szCs w:val="28"/>
        </w:rPr>
      </w:pPr>
      <w:r w:rsidRPr="00467B19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467B19">
        <w:rPr>
          <w:sz w:val="28"/>
          <w:szCs w:val="28"/>
        </w:rPr>
        <w:t xml:space="preserve">обеспечить размещение настоящего приказа </w:t>
      </w:r>
      <w:r w:rsidR="00057FE4">
        <w:rPr>
          <w:sz w:val="28"/>
          <w:szCs w:val="28"/>
        </w:rPr>
        <w:t xml:space="preserve">на официальном сайте исполнительных органов Камчатского края </w:t>
      </w:r>
      <w:r w:rsidRPr="00467B19">
        <w:rPr>
          <w:sz w:val="28"/>
          <w:szCs w:val="28"/>
        </w:rPr>
        <w:t>в информационно</w:t>
      </w:r>
      <w:r>
        <w:rPr>
          <w:sz w:val="28"/>
          <w:szCs w:val="28"/>
        </w:rPr>
        <w:t>-</w:t>
      </w:r>
      <w:r w:rsidRPr="00467B19">
        <w:rPr>
          <w:sz w:val="28"/>
          <w:szCs w:val="28"/>
        </w:rPr>
        <w:t xml:space="preserve">телекоммуникационной сети «Интернет» на странице </w:t>
      </w:r>
      <w:r w:rsidR="00470368">
        <w:rPr>
          <w:sz w:val="28"/>
          <w:szCs w:val="28"/>
        </w:rPr>
        <w:t>Министерства лесного и охотничьего хозяйства</w:t>
      </w:r>
      <w:r w:rsidR="00057FE4">
        <w:rPr>
          <w:sz w:val="28"/>
          <w:szCs w:val="28"/>
        </w:rPr>
        <w:t xml:space="preserve"> Камчатского края</w:t>
      </w:r>
      <w:r w:rsidRPr="00467B19">
        <w:rPr>
          <w:sz w:val="28"/>
          <w:szCs w:val="28"/>
        </w:rPr>
        <w:t>;</w:t>
      </w:r>
    </w:p>
    <w:p w:rsidR="00467B19" w:rsidRDefault="00467B19" w:rsidP="008F2B2C">
      <w:pPr>
        <w:ind w:firstLine="709"/>
        <w:jc w:val="both"/>
        <w:rPr>
          <w:sz w:val="28"/>
          <w:szCs w:val="28"/>
        </w:rPr>
      </w:pPr>
      <w:r w:rsidRPr="00467B19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467B19">
        <w:rPr>
          <w:sz w:val="28"/>
          <w:szCs w:val="28"/>
        </w:rPr>
        <w:t xml:space="preserve">довести настоящий приказ до сведения должностных лиц </w:t>
      </w:r>
      <w:r w:rsidR="00470368">
        <w:rPr>
          <w:sz w:val="28"/>
          <w:szCs w:val="28"/>
        </w:rPr>
        <w:t>Министерства лесного и охотничьего хозяйства</w:t>
      </w:r>
      <w:r w:rsidR="00470368" w:rsidRPr="00467B19">
        <w:rPr>
          <w:sz w:val="28"/>
          <w:szCs w:val="28"/>
        </w:rPr>
        <w:t xml:space="preserve"> Камчатского края</w:t>
      </w:r>
      <w:r w:rsidRPr="00467B19">
        <w:rPr>
          <w:sz w:val="28"/>
          <w:szCs w:val="28"/>
        </w:rPr>
        <w:t xml:space="preserve"> и краевого государственного казенного учреждения «Камчатские лесничества»</w:t>
      </w:r>
      <w:r w:rsidR="00057FE4">
        <w:rPr>
          <w:sz w:val="28"/>
          <w:szCs w:val="28"/>
        </w:rPr>
        <w:t>,</w:t>
      </w:r>
      <w:r w:rsidRPr="00467B19">
        <w:rPr>
          <w:sz w:val="28"/>
          <w:szCs w:val="28"/>
        </w:rPr>
        <w:t xml:space="preserve"> осуществляющих федеральный государственный лесной контроль (надзор) и лесную охрану; </w:t>
      </w:r>
    </w:p>
    <w:p w:rsidR="00467B19" w:rsidRPr="00467B19" w:rsidRDefault="00467B19" w:rsidP="008F2B2C">
      <w:pPr>
        <w:ind w:firstLine="709"/>
        <w:jc w:val="both"/>
        <w:rPr>
          <w:sz w:val="28"/>
          <w:szCs w:val="28"/>
        </w:rPr>
      </w:pPr>
      <w:r w:rsidRPr="00467B19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467B19">
        <w:rPr>
          <w:sz w:val="28"/>
          <w:szCs w:val="28"/>
        </w:rPr>
        <w:t>обеспечить контроль за исполнением настоящего приказа.</w:t>
      </w:r>
    </w:p>
    <w:p w:rsidR="009905A9" w:rsidRDefault="00467B19" w:rsidP="00D87ED8">
      <w:pPr>
        <w:ind w:firstLine="709"/>
        <w:jc w:val="both"/>
        <w:rPr>
          <w:sz w:val="28"/>
          <w:szCs w:val="28"/>
        </w:rPr>
      </w:pPr>
      <w:r w:rsidRPr="00467B19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467B19">
        <w:rPr>
          <w:sz w:val="28"/>
          <w:szCs w:val="28"/>
        </w:rPr>
        <w:t>Признать утратившим</w:t>
      </w:r>
      <w:r w:rsidR="00AD2467">
        <w:rPr>
          <w:sz w:val="28"/>
          <w:szCs w:val="28"/>
        </w:rPr>
        <w:t>и</w:t>
      </w:r>
      <w:r w:rsidRPr="00467B19">
        <w:rPr>
          <w:sz w:val="28"/>
          <w:szCs w:val="28"/>
        </w:rPr>
        <w:t xml:space="preserve"> силу</w:t>
      </w:r>
      <w:r w:rsidR="0095632E">
        <w:rPr>
          <w:sz w:val="28"/>
          <w:szCs w:val="28"/>
        </w:rPr>
        <w:t>:</w:t>
      </w:r>
    </w:p>
    <w:p w:rsidR="00191F1C" w:rsidRDefault="00D87ED8" w:rsidP="009905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905A9">
        <w:rPr>
          <w:sz w:val="28"/>
          <w:szCs w:val="28"/>
        </w:rPr>
        <w:t>) </w:t>
      </w:r>
      <w:r w:rsidR="00467B19" w:rsidRPr="00467B19">
        <w:rPr>
          <w:sz w:val="28"/>
          <w:szCs w:val="28"/>
        </w:rPr>
        <w:t xml:space="preserve">приказ </w:t>
      </w:r>
      <w:r w:rsidR="00191F1C">
        <w:rPr>
          <w:sz w:val="28"/>
          <w:szCs w:val="28"/>
        </w:rPr>
        <w:t xml:space="preserve">Агентства лесного хозяйства Камчатского края </w:t>
      </w:r>
      <w:r w:rsidR="00AD2467">
        <w:rPr>
          <w:sz w:val="28"/>
          <w:szCs w:val="28"/>
        </w:rPr>
        <w:t>от 12.04.2023</w:t>
      </w:r>
      <w:r w:rsidR="00467B19" w:rsidRPr="00467B19">
        <w:rPr>
          <w:sz w:val="28"/>
          <w:szCs w:val="28"/>
        </w:rPr>
        <w:t xml:space="preserve"> №</w:t>
      </w:r>
      <w:r w:rsidR="00AD2467">
        <w:rPr>
          <w:sz w:val="28"/>
          <w:szCs w:val="28"/>
        </w:rPr>
        <w:t xml:space="preserve"> 6-Н </w:t>
      </w:r>
      <w:r w:rsidR="00467B19" w:rsidRPr="00191F1C">
        <w:rPr>
          <w:sz w:val="28"/>
          <w:szCs w:val="28"/>
        </w:rPr>
        <w:t>«</w:t>
      </w:r>
      <w:r w:rsidR="00191F1C" w:rsidRPr="00191F1C">
        <w:rPr>
          <w:sz w:val="28"/>
          <w:szCs w:val="28"/>
        </w:rPr>
        <w:t>Об утверждении нормативов затрат для определения размера вреда, причиненного лесам вследствие нарушения лесного законодательства</w:t>
      </w:r>
      <w:r w:rsidR="00F259E4">
        <w:rPr>
          <w:sz w:val="28"/>
          <w:szCs w:val="28"/>
        </w:rPr>
        <w:t>»</w:t>
      </w:r>
      <w:r w:rsidR="00191F1C">
        <w:rPr>
          <w:sz w:val="28"/>
          <w:szCs w:val="28"/>
        </w:rPr>
        <w:t>;</w:t>
      </w:r>
    </w:p>
    <w:p w:rsidR="00191F1C" w:rsidRDefault="00D87ED8" w:rsidP="00191F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1F1C">
        <w:rPr>
          <w:sz w:val="28"/>
          <w:szCs w:val="28"/>
        </w:rPr>
        <w:t xml:space="preserve">) приказ Агентства лесного хозяйства Камчатского края от 18.05.2023 № 9-Н «О </w:t>
      </w:r>
      <w:r w:rsidR="00191F1C" w:rsidRPr="00191F1C">
        <w:rPr>
          <w:sz w:val="28"/>
          <w:szCs w:val="28"/>
        </w:rPr>
        <w:t>внесении изменения в часть 5 приказа Агентства лесного хозяйства</w:t>
      </w:r>
      <w:r w:rsidR="00191F1C">
        <w:rPr>
          <w:sz w:val="28"/>
          <w:szCs w:val="28"/>
        </w:rPr>
        <w:t xml:space="preserve"> </w:t>
      </w:r>
      <w:r w:rsidR="00191F1C" w:rsidRPr="00191F1C">
        <w:rPr>
          <w:sz w:val="28"/>
          <w:szCs w:val="28"/>
        </w:rPr>
        <w:t>Камчатского края от 12.04.2023 №</w:t>
      </w:r>
      <w:r w:rsidR="00191F1C">
        <w:rPr>
          <w:sz w:val="28"/>
          <w:szCs w:val="28"/>
        </w:rPr>
        <w:t xml:space="preserve"> 6-Н «Об утверждении нормативов </w:t>
      </w:r>
      <w:r w:rsidR="00191F1C" w:rsidRPr="00191F1C">
        <w:rPr>
          <w:sz w:val="28"/>
          <w:szCs w:val="28"/>
        </w:rPr>
        <w:t xml:space="preserve">затрат для </w:t>
      </w:r>
      <w:r w:rsidR="00191F1C" w:rsidRPr="00191F1C">
        <w:rPr>
          <w:sz w:val="28"/>
          <w:szCs w:val="28"/>
        </w:rPr>
        <w:lastRenderedPageBreak/>
        <w:t>определения размера вреда</w:t>
      </w:r>
      <w:r w:rsidR="00191F1C">
        <w:rPr>
          <w:sz w:val="28"/>
          <w:szCs w:val="28"/>
        </w:rPr>
        <w:t xml:space="preserve">, причиненного лесам вследствие </w:t>
      </w:r>
      <w:r w:rsidR="00191F1C" w:rsidRPr="00191F1C">
        <w:rPr>
          <w:sz w:val="28"/>
          <w:szCs w:val="28"/>
        </w:rPr>
        <w:t>нарушения лесного законодательства»</w:t>
      </w:r>
      <w:r w:rsidR="00191F1C">
        <w:rPr>
          <w:sz w:val="28"/>
          <w:szCs w:val="28"/>
        </w:rPr>
        <w:t>.</w:t>
      </w:r>
    </w:p>
    <w:p w:rsidR="00467B19" w:rsidRPr="00467B19" w:rsidRDefault="00467B19" w:rsidP="008F2B2C">
      <w:pPr>
        <w:ind w:firstLine="709"/>
        <w:jc w:val="both"/>
        <w:rPr>
          <w:sz w:val="28"/>
          <w:szCs w:val="28"/>
        </w:rPr>
      </w:pPr>
      <w:r w:rsidRPr="00467B19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467B19">
        <w:rPr>
          <w:sz w:val="28"/>
          <w:szCs w:val="28"/>
        </w:rPr>
        <w:t xml:space="preserve">Настоящий приказ вступает </w:t>
      </w:r>
      <w:r w:rsidR="00503942">
        <w:rPr>
          <w:sz w:val="28"/>
          <w:szCs w:val="28"/>
        </w:rPr>
        <w:t xml:space="preserve">в силу </w:t>
      </w:r>
      <w:r w:rsidRPr="00467B19">
        <w:rPr>
          <w:sz w:val="28"/>
          <w:szCs w:val="28"/>
        </w:rPr>
        <w:t>после дня его официального опубликования</w:t>
      </w:r>
      <w:r>
        <w:rPr>
          <w:sz w:val="28"/>
          <w:szCs w:val="28"/>
        </w:rPr>
        <w:t>.</w:t>
      </w:r>
    </w:p>
    <w:p w:rsidR="00467B19" w:rsidRDefault="00467B19" w:rsidP="008F2B2C">
      <w:pPr>
        <w:ind w:firstLine="709"/>
        <w:jc w:val="both"/>
      </w:pPr>
    </w:p>
    <w:p w:rsidR="00467B19" w:rsidRDefault="00467B19" w:rsidP="008F2B2C">
      <w:pPr>
        <w:ind w:firstLine="709"/>
        <w:jc w:val="both"/>
        <w:rPr>
          <w:sz w:val="28"/>
          <w:szCs w:val="28"/>
        </w:rPr>
      </w:pPr>
    </w:p>
    <w:p w:rsidR="00E5075F" w:rsidRDefault="00E5075F" w:rsidP="008F2B2C">
      <w:pPr>
        <w:ind w:firstLine="709"/>
        <w:jc w:val="both"/>
        <w:rPr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46569C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714F8B" w:rsidP="0046569C">
            <w:pPr>
              <w:ind w:right="27"/>
            </w:pPr>
            <w:r>
              <w:rPr>
                <w:sz w:val="28"/>
              </w:rPr>
              <w:t>Министр</w:t>
            </w:r>
          </w:p>
          <w:p w:rsidR="0046569C" w:rsidRDefault="0046569C" w:rsidP="00FC373B">
            <w:pPr>
              <w:ind w:left="30" w:right="27"/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rPr>
                <w:color w:val="000000" w:themeColor="text1"/>
              </w:rPr>
            </w:pPr>
            <w:bookmarkStart w:id="2" w:name="SIGNERSTAMP1"/>
            <w:r w:rsidRPr="0046569C">
              <w:rPr>
                <w:color w:val="FFFFFF" w:themeColor="background1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AB55CB" w:rsidP="00AB55CB">
            <w:pPr>
              <w:jc w:val="right"/>
            </w:pPr>
            <w:r>
              <w:rPr>
                <w:sz w:val="28"/>
              </w:rPr>
              <w:t xml:space="preserve">Д.Б. </w:t>
            </w:r>
            <w:r w:rsidR="00FF14C9">
              <w:rPr>
                <w:sz w:val="28"/>
              </w:rPr>
              <w:t xml:space="preserve">Щипицын </w:t>
            </w:r>
          </w:p>
        </w:tc>
      </w:tr>
    </w:tbl>
    <w:p w:rsidR="00AF4CE7" w:rsidRDefault="00AF4CE7" w:rsidP="00AF4CE7">
      <w:pPr>
        <w:widowControl w:val="0"/>
        <w:tabs>
          <w:tab w:val="left" w:pos="8222"/>
        </w:tabs>
        <w:ind w:right="-2"/>
        <w:rPr>
          <w:sz w:val="28"/>
        </w:rPr>
        <w:sectPr w:rsidR="00AF4CE7" w:rsidSect="00715D10">
          <w:headerReference w:type="default" r:id="rId9"/>
          <w:headerReference w:type="firs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3B0A7B" w:rsidRDefault="003B0A7B" w:rsidP="003B0A7B">
      <w:pPr>
        <w:widowControl w:val="0"/>
        <w:tabs>
          <w:tab w:val="left" w:pos="8222"/>
        </w:tabs>
        <w:ind w:left="5103" w:right="-2"/>
        <w:rPr>
          <w:sz w:val="28"/>
        </w:rPr>
      </w:pPr>
      <w:r>
        <w:rPr>
          <w:sz w:val="28"/>
        </w:rPr>
        <w:lastRenderedPageBreak/>
        <w:t xml:space="preserve">Приложение 1 к приказу Министерства </w:t>
      </w:r>
      <w:r>
        <w:rPr>
          <w:sz w:val="28"/>
          <w:szCs w:val="28"/>
        </w:rPr>
        <w:t xml:space="preserve">лесного и охотничьего хозяйства Камчатского </w:t>
      </w:r>
      <w:r w:rsidRPr="00DB6AD5">
        <w:rPr>
          <w:sz w:val="28"/>
          <w:szCs w:val="28"/>
        </w:rPr>
        <w:t>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3B0A7B" w:rsidTr="00FC373B">
        <w:tc>
          <w:tcPr>
            <w:tcW w:w="414" w:type="dxa"/>
            <w:hideMark/>
          </w:tcPr>
          <w:p w:rsidR="003B0A7B" w:rsidRDefault="003B0A7B" w:rsidP="00FC373B">
            <w:pPr>
              <w:spacing w:after="60"/>
              <w:ind w:left="-6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3B0A7B" w:rsidRDefault="003B0A7B" w:rsidP="00FC373B">
            <w:pPr>
              <w:spacing w:after="60"/>
              <w:jc w:val="right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[</w:t>
            </w:r>
            <w:r>
              <w:rPr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3B0A7B" w:rsidRDefault="003B0A7B" w:rsidP="00FC373B">
            <w:pPr>
              <w:spacing w:after="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3B0A7B" w:rsidRDefault="003B0A7B" w:rsidP="00FC373B">
            <w:pPr>
              <w:spacing w:after="60"/>
              <w:jc w:val="right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[R</w:t>
            </w:r>
            <w:r>
              <w:rPr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3B0A7B" w:rsidRPr="00CE0A82" w:rsidRDefault="003B0A7B" w:rsidP="00CE0A82">
      <w:pPr>
        <w:pStyle w:val="13"/>
        <w:keepNext/>
        <w:keepLines/>
        <w:shd w:val="clear" w:color="auto" w:fill="auto"/>
        <w:spacing w:before="0" w:line="240" w:lineRule="auto"/>
        <w:rPr>
          <w:b w:val="0"/>
          <w:color w:val="000000"/>
          <w:lang w:eastAsia="ru-RU" w:bidi="ru-RU"/>
        </w:rPr>
      </w:pPr>
      <w:bookmarkStart w:id="3" w:name="bookmark0"/>
    </w:p>
    <w:p w:rsidR="00CE0A82" w:rsidRPr="00CE0A82" w:rsidRDefault="00CE0A82" w:rsidP="00CE0A82">
      <w:pPr>
        <w:pStyle w:val="13"/>
        <w:keepNext/>
        <w:keepLines/>
        <w:shd w:val="clear" w:color="auto" w:fill="auto"/>
        <w:spacing w:before="0" w:line="240" w:lineRule="auto"/>
        <w:rPr>
          <w:b w:val="0"/>
          <w:color w:val="000000"/>
          <w:lang w:eastAsia="ru-RU" w:bidi="ru-RU"/>
        </w:rPr>
      </w:pPr>
    </w:p>
    <w:bookmarkEnd w:id="3"/>
    <w:p w:rsidR="00191F1C" w:rsidRPr="001B13C3" w:rsidRDefault="003B0A7B" w:rsidP="00715D10">
      <w:pPr>
        <w:jc w:val="center"/>
        <w:rPr>
          <w:sz w:val="28"/>
        </w:rPr>
      </w:pPr>
      <w:r w:rsidRPr="001B13C3">
        <w:rPr>
          <w:sz w:val="28"/>
        </w:rPr>
        <w:t>Нормативы затрат</w:t>
      </w:r>
      <w:r w:rsidR="000F7A07">
        <w:rPr>
          <w:sz w:val="28"/>
          <w:vertAlign w:val="superscript"/>
        </w:rPr>
        <w:t>1</w:t>
      </w:r>
      <w:r w:rsidRPr="001B13C3">
        <w:rPr>
          <w:sz w:val="28"/>
        </w:rPr>
        <w:t xml:space="preserve"> </w:t>
      </w:r>
    </w:p>
    <w:p w:rsidR="003B0A7B" w:rsidRPr="001B13C3" w:rsidRDefault="003B0A7B" w:rsidP="00715D10">
      <w:pPr>
        <w:jc w:val="center"/>
        <w:rPr>
          <w:sz w:val="28"/>
        </w:rPr>
      </w:pPr>
      <w:r w:rsidRPr="001B13C3">
        <w:rPr>
          <w:sz w:val="28"/>
        </w:rPr>
        <w:t>для определения размера вреда, причиненного лесам</w:t>
      </w:r>
    </w:p>
    <w:p w:rsidR="003B0A7B" w:rsidRPr="003644EA" w:rsidRDefault="003B0A7B" w:rsidP="00715D10">
      <w:pPr>
        <w:jc w:val="center"/>
        <w:rPr>
          <w:sz w:val="28"/>
          <w:vertAlign w:val="superscript"/>
        </w:rPr>
      </w:pPr>
      <w:r w:rsidRPr="001B13C3">
        <w:rPr>
          <w:sz w:val="28"/>
        </w:rPr>
        <w:t>вследствие нарушения лесного законодательства</w:t>
      </w:r>
    </w:p>
    <w:p w:rsidR="003B0A7B" w:rsidRDefault="003B0A7B" w:rsidP="003B0A7B">
      <w:pPr>
        <w:spacing w:line="276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8"/>
        <w:gridCol w:w="5435"/>
        <w:gridCol w:w="980"/>
        <w:gridCol w:w="2378"/>
      </w:tblGrid>
      <w:tr w:rsidR="003B0A7B" w:rsidRPr="003B0A7B" w:rsidTr="003B0A7B">
        <w:tc>
          <w:tcPr>
            <w:tcW w:w="1134" w:type="dxa"/>
          </w:tcPr>
          <w:p w:rsidR="009905A9" w:rsidRDefault="003B0A7B" w:rsidP="009905A9">
            <w:pPr>
              <w:jc w:val="center"/>
            </w:pPr>
            <w:r w:rsidRPr="003B0A7B">
              <w:t xml:space="preserve">№ </w:t>
            </w:r>
          </w:p>
          <w:p w:rsidR="003B0A7B" w:rsidRPr="003B0A7B" w:rsidRDefault="003B0A7B" w:rsidP="009905A9">
            <w:pPr>
              <w:jc w:val="center"/>
            </w:pPr>
            <w:r w:rsidRPr="003B0A7B">
              <w:t>п/п</w:t>
            </w:r>
          </w:p>
        </w:tc>
        <w:tc>
          <w:tcPr>
            <w:tcW w:w="5524" w:type="dxa"/>
          </w:tcPr>
          <w:p w:rsidR="003B0A7B" w:rsidRPr="003B0A7B" w:rsidRDefault="003B0A7B" w:rsidP="009905A9">
            <w:pPr>
              <w:jc w:val="center"/>
            </w:pPr>
            <w:r w:rsidRPr="003B0A7B">
              <w:t>Наименование работ</w:t>
            </w:r>
          </w:p>
        </w:tc>
        <w:tc>
          <w:tcPr>
            <w:tcW w:w="989" w:type="dxa"/>
          </w:tcPr>
          <w:p w:rsidR="003B0A7B" w:rsidRPr="003B0A7B" w:rsidRDefault="003B0A7B" w:rsidP="009905A9">
            <w:pPr>
              <w:jc w:val="center"/>
            </w:pPr>
            <w:r w:rsidRPr="003B0A7B">
              <w:t>Ед. изм.</w:t>
            </w:r>
          </w:p>
        </w:tc>
        <w:tc>
          <w:tcPr>
            <w:tcW w:w="2407" w:type="dxa"/>
          </w:tcPr>
          <w:p w:rsidR="003B0A7B" w:rsidRPr="00BF3AA4" w:rsidRDefault="003B0A7B" w:rsidP="009905A9">
            <w:pPr>
              <w:jc w:val="center"/>
              <w:rPr>
                <w:vertAlign w:val="superscript"/>
              </w:rPr>
            </w:pPr>
            <w:r w:rsidRPr="003B0A7B">
              <w:t>Затраты на единицу, руб.</w:t>
            </w:r>
          </w:p>
        </w:tc>
      </w:tr>
      <w:tr w:rsidR="003B0A7B" w:rsidRPr="003B0A7B" w:rsidTr="003B0A7B">
        <w:tc>
          <w:tcPr>
            <w:tcW w:w="1134" w:type="dxa"/>
          </w:tcPr>
          <w:p w:rsidR="003B0A7B" w:rsidRPr="003B0A7B" w:rsidRDefault="003B0A7B" w:rsidP="00FC373B">
            <w:pPr>
              <w:jc w:val="center"/>
            </w:pPr>
            <w:r>
              <w:t>1</w:t>
            </w:r>
          </w:p>
        </w:tc>
        <w:tc>
          <w:tcPr>
            <w:tcW w:w="5524" w:type="dxa"/>
          </w:tcPr>
          <w:p w:rsidR="003B0A7B" w:rsidRPr="003B0A7B" w:rsidRDefault="003B0A7B" w:rsidP="00FC373B">
            <w:pPr>
              <w:jc w:val="center"/>
            </w:pPr>
            <w:r>
              <w:t>2</w:t>
            </w:r>
          </w:p>
        </w:tc>
        <w:tc>
          <w:tcPr>
            <w:tcW w:w="989" w:type="dxa"/>
          </w:tcPr>
          <w:p w:rsidR="003B0A7B" w:rsidRPr="003B0A7B" w:rsidRDefault="003B0A7B" w:rsidP="00FC373B">
            <w:pPr>
              <w:jc w:val="center"/>
            </w:pPr>
            <w:r>
              <w:t>3</w:t>
            </w:r>
          </w:p>
        </w:tc>
        <w:tc>
          <w:tcPr>
            <w:tcW w:w="2407" w:type="dxa"/>
          </w:tcPr>
          <w:p w:rsidR="003B0A7B" w:rsidRPr="003B0A7B" w:rsidRDefault="003B0A7B" w:rsidP="00FC373B">
            <w:pPr>
              <w:jc w:val="center"/>
            </w:pPr>
            <w:r>
              <w:t>4</w:t>
            </w:r>
          </w:p>
        </w:tc>
      </w:tr>
      <w:tr w:rsidR="003B0A7B" w:rsidRPr="003B0A7B" w:rsidTr="003B0A7B">
        <w:tc>
          <w:tcPr>
            <w:tcW w:w="1134" w:type="dxa"/>
          </w:tcPr>
          <w:p w:rsidR="003B0A7B" w:rsidRPr="003B0A7B" w:rsidRDefault="003B0A7B" w:rsidP="00FC373B">
            <w:pPr>
              <w:jc w:val="center"/>
            </w:pPr>
            <w:r w:rsidRPr="003B0A7B">
              <w:t>1.</w:t>
            </w:r>
          </w:p>
        </w:tc>
        <w:tc>
          <w:tcPr>
            <w:tcW w:w="5524" w:type="dxa"/>
          </w:tcPr>
          <w:p w:rsidR="003B0A7B" w:rsidRPr="003B0A7B" w:rsidRDefault="003B0A7B" w:rsidP="00FC373B">
            <w:pPr>
              <w:jc w:val="both"/>
            </w:pPr>
            <w:r w:rsidRPr="003B0A7B">
              <w:t>Создание лесных культур, молодняка естественного происхождения и подроста до возраста, соответствующего возраст уничтоженных или поврежденных лесных культур (лесные насаждения, созданные посевом или посадкой), молодняка естественного происхождения и подроста до достижения 10 летнего возраста</w:t>
            </w:r>
          </w:p>
        </w:tc>
        <w:tc>
          <w:tcPr>
            <w:tcW w:w="989" w:type="dxa"/>
          </w:tcPr>
          <w:p w:rsidR="003B0A7B" w:rsidRPr="003B0A7B" w:rsidRDefault="003B0A7B" w:rsidP="00FC373B">
            <w:pPr>
              <w:jc w:val="center"/>
            </w:pPr>
            <w:r w:rsidRPr="003B0A7B">
              <w:t>га</w:t>
            </w:r>
          </w:p>
        </w:tc>
        <w:tc>
          <w:tcPr>
            <w:tcW w:w="2407" w:type="dxa"/>
          </w:tcPr>
          <w:p w:rsidR="003B0A7B" w:rsidRPr="00DB2795" w:rsidRDefault="00DB2795" w:rsidP="0048440A">
            <w:pPr>
              <w:jc w:val="center"/>
            </w:pPr>
            <w:r w:rsidRPr="00DB2795">
              <w:t>279 716,8</w:t>
            </w:r>
            <w:r w:rsidR="0048440A">
              <w:t>4</w:t>
            </w:r>
          </w:p>
        </w:tc>
      </w:tr>
      <w:tr w:rsidR="003B0A7B" w:rsidRPr="003B0A7B" w:rsidTr="003B0A7B">
        <w:tc>
          <w:tcPr>
            <w:tcW w:w="1134" w:type="dxa"/>
          </w:tcPr>
          <w:p w:rsidR="003B0A7B" w:rsidRPr="003B0A7B" w:rsidRDefault="003B0A7B" w:rsidP="00FC373B">
            <w:pPr>
              <w:jc w:val="center"/>
            </w:pPr>
            <w:r w:rsidRPr="003B0A7B">
              <w:t>2</w:t>
            </w:r>
            <w:r w:rsidR="009C7960">
              <w:t>.</w:t>
            </w:r>
          </w:p>
        </w:tc>
        <w:tc>
          <w:tcPr>
            <w:tcW w:w="5524" w:type="dxa"/>
          </w:tcPr>
          <w:p w:rsidR="003B0A7B" w:rsidRPr="003B0A7B" w:rsidRDefault="003B0A7B" w:rsidP="00FC373B">
            <w:pPr>
              <w:jc w:val="both"/>
            </w:pPr>
            <w:r w:rsidRPr="003B0A7B">
              <w:t>Очистка территории от отходов производства и потребления и приведение ее в состояние, пригодное для использования</w:t>
            </w:r>
          </w:p>
        </w:tc>
        <w:tc>
          <w:tcPr>
            <w:tcW w:w="989" w:type="dxa"/>
          </w:tcPr>
          <w:p w:rsidR="003B0A7B" w:rsidRPr="003B0A7B" w:rsidRDefault="003B0A7B" w:rsidP="00FC373B">
            <w:pPr>
              <w:jc w:val="center"/>
            </w:pPr>
            <w:r w:rsidRPr="003B0A7B">
              <w:t>га</w:t>
            </w:r>
          </w:p>
        </w:tc>
        <w:tc>
          <w:tcPr>
            <w:tcW w:w="2407" w:type="dxa"/>
          </w:tcPr>
          <w:p w:rsidR="003B0A7B" w:rsidRPr="00DB2795" w:rsidRDefault="00DB2795" w:rsidP="00FC373B">
            <w:pPr>
              <w:jc w:val="center"/>
            </w:pPr>
            <w:r w:rsidRPr="00DB2795">
              <w:t>90 613,40</w:t>
            </w:r>
          </w:p>
        </w:tc>
      </w:tr>
    </w:tbl>
    <w:p w:rsidR="00137231" w:rsidRPr="00137231" w:rsidRDefault="00CE0A82" w:rsidP="00973602">
      <w:pPr>
        <w:jc w:val="both"/>
      </w:pPr>
      <w:r w:rsidRPr="003644EA">
        <w:rPr>
          <w:vertAlign w:val="superscript"/>
        </w:rPr>
        <w:t>1</w:t>
      </w:r>
      <w:r w:rsidR="00137231" w:rsidRPr="003644EA">
        <w:rPr>
          <w:vertAlign w:val="superscript"/>
        </w:rPr>
        <w:t> </w:t>
      </w:r>
      <w:r w:rsidR="003644EA" w:rsidRPr="003644EA">
        <w:t>О</w:t>
      </w:r>
      <w:r w:rsidR="00973602" w:rsidRPr="003644EA">
        <w:t>пределены</w:t>
      </w:r>
      <w:r w:rsidR="001B13C3" w:rsidRPr="003644EA">
        <w:t xml:space="preserve"> в соответствии с нормативными затратами </w:t>
      </w:r>
      <w:r w:rsidR="00137231" w:rsidRPr="003644EA">
        <w:t>на выполнение подведомственным государственным автономным учреждением работ по защите, воспроизводству лесов.</w:t>
      </w:r>
    </w:p>
    <w:p w:rsidR="003B0A7B" w:rsidRPr="00CE0A82" w:rsidRDefault="003B0A7B" w:rsidP="003B0A7B"/>
    <w:p w:rsidR="003B0A7B" w:rsidRDefault="003B0A7B" w:rsidP="003B0A7B">
      <w:r>
        <w:br w:type="page"/>
      </w:r>
    </w:p>
    <w:p w:rsidR="009C7960" w:rsidRDefault="009C7960" w:rsidP="009C7960">
      <w:pPr>
        <w:widowControl w:val="0"/>
        <w:tabs>
          <w:tab w:val="left" w:pos="8222"/>
        </w:tabs>
        <w:ind w:left="5103" w:right="-2"/>
        <w:rPr>
          <w:sz w:val="28"/>
        </w:rPr>
      </w:pPr>
      <w:r>
        <w:rPr>
          <w:sz w:val="28"/>
        </w:rPr>
        <w:lastRenderedPageBreak/>
        <w:t xml:space="preserve">Приложение 2 к приказу Министерства </w:t>
      </w:r>
      <w:r>
        <w:rPr>
          <w:sz w:val="28"/>
          <w:szCs w:val="28"/>
        </w:rPr>
        <w:t xml:space="preserve">лесного и охотничьего хозяйства Камчатского </w:t>
      </w:r>
      <w:r w:rsidRPr="00DB6AD5">
        <w:rPr>
          <w:sz w:val="28"/>
          <w:szCs w:val="28"/>
        </w:rPr>
        <w:t>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9C7960" w:rsidTr="00FC373B">
        <w:tc>
          <w:tcPr>
            <w:tcW w:w="414" w:type="dxa"/>
            <w:hideMark/>
          </w:tcPr>
          <w:p w:rsidR="009C7960" w:rsidRDefault="009C7960" w:rsidP="00FC373B">
            <w:pPr>
              <w:spacing w:after="60"/>
              <w:ind w:left="-6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9C7960" w:rsidRDefault="009C7960" w:rsidP="00FC373B">
            <w:pPr>
              <w:spacing w:after="60"/>
              <w:jc w:val="right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[</w:t>
            </w:r>
            <w:r>
              <w:rPr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9C7960" w:rsidRDefault="009C7960" w:rsidP="00FC373B">
            <w:pPr>
              <w:spacing w:after="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9C7960" w:rsidRDefault="009C7960" w:rsidP="00FC373B">
            <w:pPr>
              <w:spacing w:after="60"/>
              <w:jc w:val="right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[R</w:t>
            </w:r>
            <w:r>
              <w:rPr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3B0A7B" w:rsidRDefault="003B0A7B" w:rsidP="00AF4CE7">
      <w:pPr>
        <w:pStyle w:val="ConsPlusTitle"/>
        <w:jc w:val="center"/>
        <w:rPr>
          <w:b w:val="0"/>
          <w:color w:val="333333"/>
          <w:sz w:val="28"/>
          <w:szCs w:val="28"/>
          <w:shd w:val="clear" w:color="auto" w:fill="FFFFFF"/>
        </w:rPr>
      </w:pPr>
    </w:p>
    <w:p w:rsidR="00CE0A82" w:rsidRDefault="00CE0A82" w:rsidP="00AF4CE7">
      <w:pPr>
        <w:pStyle w:val="ConsPlusTitle"/>
        <w:jc w:val="center"/>
        <w:rPr>
          <w:b w:val="0"/>
          <w:color w:val="333333"/>
          <w:sz w:val="28"/>
          <w:szCs w:val="28"/>
          <w:shd w:val="clear" w:color="auto" w:fill="FFFFFF"/>
        </w:rPr>
      </w:pPr>
    </w:p>
    <w:p w:rsidR="009905A9" w:rsidRDefault="009C7960" w:rsidP="001B13C3">
      <w:pPr>
        <w:jc w:val="center"/>
        <w:rPr>
          <w:sz w:val="28"/>
        </w:rPr>
      </w:pPr>
      <w:r w:rsidRPr="00553A2B">
        <w:rPr>
          <w:sz w:val="28"/>
        </w:rPr>
        <w:t>Нормативы затрат</w:t>
      </w:r>
      <w:r w:rsidR="000F7A07">
        <w:rPr>
          <w:sz w:val="28"/>
          <w:vertAlign w:val="superscript"/>
        </w:rPr>
        <w:t>2</w:t>
      </w:r>
      <w:r w:rsidRPr="00553A2B">
        <w:rPr>
          <w:sz w:val="28"/>
        </w:rPr>
        <w:t xml:space="preserve"> </w:t>
      </w:r>
    </w:p>
    <w:p w:rsidR="00426174" w:rsidRDefault="00426174" w:rsidP="001B13C3">
      <w:pPr>
        <w:jc w:val="center"/>
        <w:rPr>
          <w:sz w:val="28"/>
        </w:rPr>
      </w:pPr>
      <w:r>
        <w:rPr>
          <w:sz w:val="28"/>
        </w:rPr>
        <w:t>для определения размера неустойки</w:t>
      </w:r>
      <w:r w:rsidR="009905A9" w:rsidRPr="009905A9">
        <w:rPr>
          <w:sz w:val="28"/>
        </w:rPr>
        <w:t xml:space="preserve"> за неисполнение или ненадлежащее исполнение обязательств по договорам аренды лесных (земельных) участков </w:t>
      </w:r>
    </w:p>
    <w:p w:rsidR="009C7960" w:rsidRPr="003644EA" w:rsidRDefault="009905A9" w:rsidP="001B13C3">
      <w:pPr>
        <w:jc w:val="center"/>
        <w:rPr>
          <w:sz w:val="28"/>
          <w:vertAlign w:val="superscript"/>
        </w:rPr>
      </w:pPr>
      <w:r w:rsidRPr="009905A9">
        <w:rPr>
          <w:sz w:val="28"/>
        </w:rPr>
        <w:t>и договорам купли-продажи лесных насаждений</w:t>
      </w:r>
    </w:p>
    <w:p w:rsidR="009C7960" w:rsidRDefault="009C7960" w:rsidP="009C7960">
      <w:pPr>
        <w:spacing w:line="276" w:lineRule="auto"/>
      </w:pPr>
    </w:p>
    <w:tbl>
      <w:tblPr>
        <w:tblOverlap w:val="never"/>
        <w:tblW w:w="101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5665"/>
        <w:gridCol w:w="972"/>
        <w:gridCol w:w="2398"/>
      </w:tblGrid>
      <w:tr w:rsidR="009C7960" w:rsidRPr="009C7960" w:rsidTr="00737B55">
        <w:trPr>
          <w:trHeight w:hRule="exact" w:val="85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5A9" w:rsidRDefault="009C7960" w:rsidP="009905A9">
            <w:pPr>
              <w:widowControl w:val="0"/>
              <w:jc w:val="center"/>
              <w:rPr>
                <w:lang w:bidi="ru-RU"/>
              </w:rPr>
            </w:pPr>
            <w:r w:rsidRPr="009C7960">
              <w:rPr>
                <w:lang w:bidi="ru-RU"/>
              </w:rPr>
              <w:t xml:space="preserve">№ </w:t>
            </w:r>
          </w:p>
          <w:p w:rsidR="009C7960" w:rsidRPr="009C7960" w:rsidRDefault="009C7960" w:rsidP="009905A9">
            <w:pPr>
              <w:widowControl w:val="0"/>
              <w:jc w:val="center"/>
              <w:rPr>
                <w:lang w:bidi="ru-RU"/>
              </w:rPr>
            </w:pPr>
            <w:r w:rsidRPr="009C7960">
              <w:rPr>
                <w:lang w:bidi="ru-RU"/>
              </w:rPr>
              <w:t>п/п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7960" w:rsidRPr="009C7960" w:rsidRDefault="009C7960" w:rsidP="009905A9">
            <w:pPr>
              <w:widowControl w:val="0"/>
              <w:jc w:val="center"/>
              <w:rPr>
                <w:lang w:bidi="ru-RU"/>
              </w:rPr>
            </w:pPr>
            <w:r w:rsidRPr="009C7960">
              <w:rPr>
                <w:lang w:bidi="ru-RU"/>
              </w:rPr>
              <w:t>Наименование работ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7960" w:rsidRPr="009C7960" w:rsidRDefault="009C7960" w:rsidP="009905A9">
            <w:pPr>
              <w:widowControl w:val="0"/>
              <w:jc w:val="center"/>
              <w:rPr>
                <w:lang w:bidi="ru-RU"/>
              </w:rPr>
            </w:pPr>
            <w:r w:rsidRPr="009C7960">
              <w:rPr>
                <w:lang w:bidi="ru-RU"/>
              </w:rPr>
              <w:t>Ед. изм.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960" w:rsidRPr="00BF3AA4" w:rsidRDefault="009C7960" w:rsidP="009905A9">
            <w:pPr>
              <w:widowControl w:val="0"/>
              <w:jc w:val="center"/>
              <w:rPr>
                <w:vertAlign w:val="superscript"/>
                <w:lang w:bidi="ru-RU"/>
              </w:rPr>
            </w:pPr>
            <w:r w:rsidRPr="009C7960">
              <w:rPr>
                <w:lang w:bidi="ru-RU"/>
              </w:rPr>
              <w:t>Затраты на единицу, руб.</w:t>
            </w:r>
          </w:p>
        </w:tc>
      </w:tr>
      <w:tr w:rsidR="00E06EE7" w:rsidRPr="009C7960" w:rsidTr="00737B55">
        <w:trPr>
          <w:trHeight w:hRule="exact" w:val="27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EE7" w:rsidRPr="009C7960" w:rsidRDefault="00E06EE7" w:rsidP="00FC373B">
            <w:pPr>
              <w:widowControl w:val="0"/>
              <w:spacing w:line="257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EE7" w:rsidRPr="009C7960" w:rsidRDefault="00E06EE7" w:rsidP="00FC373B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EE7" w:rsidRPr="009C7960" w:rsidRDefault="00E06EE7" w:rsidP="00FC373B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EE7" w:rsidRPr="009C7960" w:rsidRDefault="00E06EE7" w:rsidP="00FC373B">
            <w:pPr>
              <w:widowControl w:val="0"/>
              <w:spacing w:line="264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4</w:t>
            </w:r>
          </w:p>
        </w:tc>
      </w:tr>
      <w:tr w:rsidR="009C7960" w:rsidRPr="009C7960" w:rsidTr="009905A9">
        <w:trPr>
          <w:trHeight w:hRule="exact" w:val="629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960" w:rsidRPr="009C7960" w:rsidRDefault="009C7960" w:rsidP="00FC373B">
            <w:pPr>
              <w:widowControl w:val="0"/>
              <w:ind w:hanging="15"/>
              <w:jc w:val="center"/>
              <w:rPr>
                <w:lang w:bidi="ru-RU"/>
              </w:rPr>
            </w:pPr>
            <w:r w:rsidRPr="009C7960">
              <w:rPr>
                <w:lang w:bidi="ru-RU"/>
              </w:rPr>
              <w:t>1</w:t>
            </w:r>
            <w:r>
              <w:rPr>
                <w:lang w:bidi="ru-RU"/>
              </w:rPr>
              <w:t>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960" w:rsidRPr="009C7960" w:rsidRDefault="009C7960" w:rsidP="00FC373B">
            <w:pPr>
              <w:widowControl w:val="0"/>
              <w:ind w:left="127" w:right="135"/>
              <w:jc w:val="both"/>
              <w:rPr>
                <w:lang w:bidi="ru-RU"/>
              </w:rPr>
            </w:pPr>
            <w:r w:rsidRPr="009C7960">
              <w:rPr>
                <w:lang w:bidi="ru-RU"/>
              </w:rPr>
              <w:t>Очистка мест рубок, лесосек от порубочных остатков: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960" w:rsidRPr="009C7960" w:rsidRDefault="009C7960" w:rsidP="00FC373B">
            <w:pPr>
              <w:widowControl w:val="0"/>
              <w:jc w:val="center"/>
              <w:rPr>
                <w:lang w:bidi="ru-RU"/>
              </w:rPr>
            </w:pPr>
            <w:r w:rsidRPr="009C7960">
              <w:rPr>
                <w:lang w:bidi="ru-RU"/>
              </w:rPr>
              <w:t>га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960" w:rsidRPr="009C7960" w:rsidRDefault="00737B55" w:rsidP="008E5EE7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bidi="ru-RU"/>
              </w:rPr>
            </w:pPr>
            <w:r>
              <w:rPr>
                <w:lang w:bidi="ru-RU"/>
              </w:rPr>
              <w:t>6</w:t>
            </w:r>
            <w:r w:rsidR="008E5EE7">
              <w:rPr>
                <w:lang w:bidi="ru-RU"/>
              </w:rPr>
              <w:t>8</w:t>
            </w:r>
            <w:r>
              <w:rPr>
                <w:lang w:bidi="ru-RU"/>
              </w:rPr>
              <w:t> 297,19</w:t>
            </w:r>
          </w:p>
        </w:tc>
      </w:tr>
      <w:tr w:rsidR="009C7960" w:rsidRPr="009C7960" w:rsidTr="009905A9">
        <w:trPr>
          <w:trHeight w:hRule="exact" w:val="113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960" w:rsidRPr="009C7960" w:rsidRDefault="009C7960" w:rsidP="00FC373B">
            <w:pPr>
              <w:widowControl w:val="0"/>
              <w:ind w:hanging="15"/>
              <w:jc w:val="center"/>
              <w:rPr>
                <w:lang w:bidi="ru-RU"/>
              </w:rPr>
            </w:pPr>
            <w:r w:rsidRPr="009C7960">
              <w:rPr>
                <w:lang w:bidi="ru-RU"/>
              </w:rPr>
              <w:t>2</w:t>
            </w:r>
            <w:r>
              <w:rPr>
                <w:lang w:bidi="ru-RU"/>
              </w:rPr>
              <w:t>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960" w:rsidRDefault="009C7960" w:rsidP="00FC373B">
            <w:pPr>
              <w:widowControl w:val="0"/>
              <w:tabs>
                <w:tab w:val="left" w:pos="2232"/>
                <w:tab w:val="left" w:pos="3730"/>
              </w:tabs>
              <w:ind w:left="127" w:right="135"/>
              <w:jc w:val="both"/>
              <w:rPr>
                <w:lang w:bidi="ru-RU"/>
              </w:rPr>
            </w:pPr>
            <w:r w:rsidRPr="009C7960">
              <w:rPr>
                <w:lang w:bidi="ru-RU"/>
              </w:rPr>
              <w:t>Очистка просек и прилегающих к лесосекам полос шириной 50 метров от захламления погибшими и поврежденными лесными насаждениями, неликвидной древесиной</w:t>
            </w:r>
          </w:p>
          <w:p w:rsidR="009905A9" w:rsidRDefault="009905A9" w:rsidP="00FC373B">
            <w:pPr>
              <w:widowControl w:val="0"/>
              <w:tabs>
                <w:tab w:val="left" w:pos="2232"/>
                <w:tab w:val="left" w:pos="3730"/>
              </w:tabs>
              <w:ind w:left="127" w:right="135"/>
              <w:jc w:val="both"/>
              <w:rPr>
                <w:lang w:bidi="ru-RU"/>
              </w:rPr>
            </w:pPr>
          </w:p>
          <w:p w:rsidR="009905A9" w:rsidRDefault="009905A9" w:rsidP="00FC373B">
            <w:pPr>
              <w:widowControl w:val="0"/>
              <w:tabs>
                <w:tab w:val="left" w:pos="2232"/>
                <w:tab w:val="left" w:pos="3730"/>
              </w:tabs>
              <w:ind w:left="127" w:right="135"/>
              <w:jc w:val="both"/>
              <w:rPr>
                <w:lang w:bidi="ru-RU"/>
              </w:rPr>
            </w:pPr>
          </w:p>
          <w:p w:rsidR="009905A9" w:rsidRPr="009C7960" w:rsidRDefault="009905A9" w:rsidP="00FC373B">
            <w:pPr>
              <w:widowControl w:val="0"/>
              <w:tabs>
                <w:tab w:val="left" w:pos="2232"/>
                <w:tab w:val="left" w:pos="3730"/>
              </w:tabs>
              <w:ind w:left="127" w:right="135"/>
              <w:jc w:val="both"/>
              <w:rPr>
                <w:lang w:bidi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960" w:rsidRPr="009C7960" w:rsidRDefault="009C7960" w:rsidP="00FC373B">
            <w:pPr>
              <w:widowControl w:val="0"/>
              <w:jc w:val="center"/>
              <w:rPr>
                <w:lang w:bidi="ru-RU"/>
              </w:rPr>
            </w:pPr>
            <w:r w:rsidRPr="009C7960">
              <w:rPr>
                <w:lang w:bidi="ru-RU"/>
              </w:rPr>
              <w:t>га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960" w:rsidRPr="009C7960" w:rsidRDefault="00737B55" w:rsidP="008E5EE7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6</w:t>
            </w:r>
            <w:r w:rsidR="008E5EE7">
              <w:rPr>
                <w:lang w:bidi="ru-RU"/>
              </w:rPr>
              <w:t>8</w:t>
            </w:r>
            <w:r>
              <w:rPr>
                <w:lang w:bidi="ru-RU"/>
              </w:rPr>
              <w:t> 297,19</w:t>
            </w:r>
          </w:p>
        </w:tc>
      </w:tr>
      <w:tr w:rsidR="009C7960" w:rsidRPr="009C7960" w:rsidTr="009905A9">
        <w:trPr>
          <w:trHeight w:hRule="exact" w:val="89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960" w:rsidRPr="009C7960" w:rsidRDefault="009C7960" w:rsidP="00FC373B">
            <w:pPr>
              <w:widowControl w:val="0"/>
              <w:ind w:hanging="15"/>
              <w:jc w:val="center"/>
              <w:rPr>
                <w:lang w:bidi="ru-RU"/>
              </w:rPr>
            </w:pPr>
            <w:r w:rsidRPr="009C7960">
              <w:rPr>
                <w:lang w:bidi="ru-RU"/>
              </w:rPr>
              <w:t>3</w:t>
            </w:r>
            <w:r>
              <w:rPr>
                <w:lang w:bidi="ru-RU"/>
              </w:rPr>
              <w:t>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960" w:rsidRPr="009C7960" w:rsidRDefault="009C7960" w:rsidP="00FC373B">
            <w:pPr>
              <w:widowControl w:val="0"/>
              <w:ind w:left="127" w:right="135"/>
              <w:jc w:val="both"/>
              <w:rPr>
                <w:lang w:bidi="ru-RU"/>
              </w:rPr>
            </w:pPr>
            <w:r w:rsidRPr="009C7960">
              <w:rPr>
                <w:lang w:bidi="ru-RU"/>
              </w:rPr>
              <w:t>Очистка просек и прилегающих к лесосекам полос шириной 50 метров от захламления (загрязнения) отходами производства и потребления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960" w:rsidRPr="009C7960" w:rsidRDefault="009C7960" w:rsidP="00FC373B">
            <w:pPr>
              <w:widowControl w:val="0"/>
              <w:jc w:val="center"/>
              <w:rPr>
                <w:lang w:bidi="ru-RU"/>
              </w:rPr>
            </w:pPr>
            <w:r w:rsidRPr="009C7960">
              <w:rPr>
                <w:lang w:bidi="ru-RU"/>
              </w:rPr>
              <w:t>га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B55" w:rsidRPr="009C7960" w:rsidRDefault="00737B55" w:rsidP="00737B55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90 613,40</w:t>
            </w:r>
          </w:p>
        </w:tc>
      </w:tr>
      <w:tr w:rsidR="009C7960" w:rsidRPr="009C7960" w:rsidTr="00737B55">
        <w:trPr>
          <w:trHeight w:hRule="exact" w:val="147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960" w:rsidRPr="009C7960" w:rsidRDefault="009C7960" w:rsidP="00FC373B">
            <w:pPr>
              <w:widowControl w:val="0"/>
              <w:ind w:hanging="15"/>
              <w:jc w:val="center"/>
              <w:rPr>
                <w:lang w:bidi="ru-RU"/>
              </w:rPr>
            </w:pPr>
            <w:r w:rsidRPr="009C7960">
              <w:rPr>
                <w:lang w:bidi="ru-RU"/>
              </w:rPr>
              <w:t>4</w:t>
            </w:r>
            <w:r>
              <w:rPr>
                <w:lang w:bidi="ru-RU"/>
              </w:rPr>
              <w:t>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960" w:rsidRPr="009C7960" w:rsidRDefault="009C7960" w:rsidP="00FC373B">
            <w:pPr>
              <w:widowControl w:val="0"/>
              <w:ind w:left="127" w:right="135"/>
              <w:jc w:val="both"/>
              <w:rPr>
                <w:lang w:bidi="ru-RU"/>
              </w:rPr>
            </w:pPr>
            <w:r w:rsidRPr="009C7960">
              <w:rPr>
                <w:lang w:bidi="ru-RU"/>
              </w:rPr>
              <w:t>Создание и выращивание лесных культур до возраста поврежденного или уничтоженного подроста на участке, равном площади, на которой уничтожен или поврежден подрост, до достижения 10-летнего возраста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960" w:rsidRPr="009C7960" w:rsidRDefault="009C7960" w:rsidP="00FC373B">
            <w:pPr>
              <w:widowControl w:val="0"/>
              <w:jc w:val="center"/>
              <w:rPr>
                <w:lang w:bidi="ru-RU"/>
              </w:rPr>
            </w:pPr>
            <w:r w:rsidRPr="009C7960">
              <w:rPr>
                <w:lang w:bidi="ru-RU"/>
              </w:rPr>
              <w:t>га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60" w:rsidRPr="009C7960" w:rsidRDefault="00737B55" w:rsidP="004F6C15">
            <w:pPr>
              <w:widowControl w:val="0"/>
              <w:jc w:val="center"/>
              <w:rPr>
                <w:lang w:bidi="ru-RU"/>
              </w:rPr>
            </w:pPr>
            <w:r w:rsidRPr="00DB2795">
              <w:t>279 716,8</w:t>
            </w:r>
            <w:r w:rsidR="004F6C15">
              <w:t>4</w:t>
            </w:r>
          </w:p>
        </w:tc>
      </w:tr>
      <w:tr w:rsidR="009C7960" w:rsidRPr="009C7960" w:rsidTr="009905A9">
        <w:trPr>
          <w:trHeight w:hRule="exact" w:val="60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960" w:rsidRPr="009C7960" w:rsidRDefault="009C7960" w:rsidP="00FC373B">
            <w:pPr>
              <w:widowControl w:val="0"/>
              <w:ind w:hanging="15"/>
              <w:jc w:val="center"/>
              <w:rPr>
                <w:lang w:bidi="ru-RU"/>
              </w:rPr>
            </w:pPr>
            <w:r>
              <w:rPr>
                <w:lang w:bidi="ru-RU"/>
              </w:rPr>
              <w:t>5.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960" w:rsidRPr="009C7960" w:rsidRDefault="009C7960" w:rsidP="00130DB2">
            <w:pPr>
              <w:widowControl w:val="0"/>
              <w:ind w:left="127" w:right="135"/>
              <w:jc w:val="both"/>
              <w:rPr>
                <w:lang w:bidi="ru-RU"/>
              </w:rPr>
            </w:pPr>
            <w:r w:rsidRPr="009C7960">
              <w:rPr>
                <w:lang w:bidi="ru-RU"/>
              </w:rPr>
              <w:t xml:space="preserve">Изготовление </w:t>
            </w:r>
            <w:r w:rsidR="00AD5CDE">
              <w:rPr>
                <w:lang w:bidi="ru-RU"/>
              </w:rPr>
              <w:t>граничных, квартальных, лесосечных и других столбов и знаков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960" w:rsidRPr="009C7960" w:rsidRDefault="009C7960" w:rsidP="00FC373B">
            <w:pPr>
              <w:widowControl w:val="0"/>
              <w:jc w:val="center"/>
              <w:rPr>
                <w:lang w:bidi="ru-RU"/>
              </w:rPr>
            </w:pPr>
            <w:r>
              <w:rPr>
                <w:lang w:bidi="ru-RU"/>
              </w:rPr>
              <w:t>шт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60" w:rsidRPr="004F6C15" w:rsidRDefault="004F6C15" w:rsidP="00737B55">
            <w:pPr>
              <w:widowControl w:val="0"/>
              <w:jc w:val="center"/>
              <w:rPr>
                <w:lang w:bidi="ru-RU"/>
              </w:rPr>
            </w:pPr>
            <w:r w:rsidRPr="004F6C15">
              <w:rPr>
                <w:bCs/>
              </w:rPr>
              <w:t>6</w:t>
            </w:r>
            <w:r w:rsidRPr="00DB2795">
              <w:t> </w:t>
            </w:r>
            <w:r w:rsidRPr="004F6C15">
              <w:rPr>
                <w:bCs/>
              </w:rPr>
              <w:t>318,51</w:t>
            </w:r>
          </w:p>
        </w:tc>
      </w:tr>
    </w:tbl>
    <w:p w:rsidR="00F25F5D" w:rsidRPr="00973602" w:rsidRDefault="00973602" w:rsidP="00973602">
      <w:pPr>
        <w:pStyle w:val="ConsPlusTitle"/>
        <w:jc w:val="both"/>
        <w:rPr>
          <w:b w:val="0"/>
          <w:color w:val="333333"/>
          <w:sz w:val="28"/>
          <w:szCs w:val="28"/>
          <w:shd w:val="clear" w:color="auto" w:fill="FFFFFF"/>
        </w:rPr>
      </w:pPr>
      <w:r>
        <w:rPr>
          <w:b w:val="0"/>
          <w:vertAlign w:val="superscript"/>
        </w:rPr>
        <w:t>2</w:t>
      </w:r>
      <w:r w:rsidRPr="00973602">
        <w:rPr>
          <w:b w:val="0"/>
          <w:vertAlign w:val="superscript"/>
        </w:rPr>
        <w:t> </w:t>
      </w:r>
      <w:r w:rsidR="003644EA">
        <w:rPr>
          <w:b w:val="0"/>
        </w:rPr>
        <w:t>О</w:t>
      </w:r>
      <w:r>
        <w:rPr>
          <w:b w:val="0"/>
        </w:rPr>
        <w:t>пределены</w:t>
      </w:r>
      <w:r w:rsidR="003644EA">
        <w:rPr>
          <w:b w:val="0"/>
        </w:rPr>
        <w:t xml:space="preserve"> в соответствии с </w:t>
      </w:r>
      <w:r w:rsidRPr="00973602">
        <w:rPr>
          <w:b w:val="0"/>
        </w:rPr>
        <w:t>нормативными затратами на выполнение подведомственным государственным автономным учреждением работ по защите, воспроизводству лесов</w:t>
      </w:r>
      <w:r>
        <w:rPr>
          <w:b w:val="0"/>
        </w:rPr>
        <w:t>.</w:t>
      </w:r>
    </w:p>
    <w:p w:rsidR="00F25F5D" w:rsidRDefault="00F25F5D" w:rsidP="00AF4CE7">
      <w:pPr>
        <w:pStyle w:val="ConsPlusTitle"/>
        <w:jc w:val="center"/>
        <w:rPr>
          <w:b w:val="0"/>
          <w:color w:val="333333"/>
          <w:sz w:val="28"/>
          <w:szCs w:val="28"/>
          <w:shd w:val="clear" w:color="auto" w:fill="FFFFFF"/>
        </w:rPr>
      </w:pPr>
    </w:p>
    <w:p w:rsidR="009905A9" w:rsidRDefault="009905A9" w:rsidP="00973602">
      <w:pPr>
        <w:pStyle w:val="ConsPlusTitle"/>
        <w:rPr>
          <w:b w:val="0"/>
          <w:color w:val="333333"/>
          <w:sz w:val="28"/>
          <w:szCs w:val="28"/>
          <w:shd w:val="clear" w:color="auto" w:fill="FFFFFF"/>
        </w:rPr>
      </w:pPr>
    </w:p>
    <w:p w:rsidR="00840DCB" w:rsidRDefault="00840DCB" w:rsidP="00973602">
      <w:pPr>
        <w:pStyle w:val="ConsPlusTitle"/>
        <w:rPr>
          <w:b w:val="0"/>
          <w:color w:val="333333"/>
          <w:sz w:val="28"/>
          <w:szCs w:val="28"/>
          <w:shd w:val="clear" w:color="auto" w:fill="FFFFFF"/>
        </w:rPr>
      </w:pPr>
    </w:p>
    <w:sectPr w:rsidR="00840DCB" w:rsidSect="0097360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735" w:rsidRDefault="00180735" w:rsidP="0031799B">
      <w:r>
        <w:separator/>
      </w:r>
    </w:p>
  </w:endnote>
  <w:endnote w:type="continuationSeparator" w:id="0">
    <w:p w:rsidR="00180735" w:rsidRDefault="00180735" w:rsidP="0031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mpora LGC Un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735" w:rsidRDefault="00180735" w:rsidP="0031799B">
      <w:r>
        <w:separator/>
      </w:r>
    </w:p>
  </w:footnote>
  <w:footnote w:type="continuationSeparator" w:id="0">
    <w:p w:rsidR="00180735" w:rsidRDefault="00180735" w:rsidP="00317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E7445" w:rsidRPr="00CD2876" w:rsidRDefault="008E7445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1940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2084557"/>
      <w:docPartObj>
        <w:docPartGallery w:val="Page Numbers (Top of Page)"/>
        <w:docPartUnique/>
      </w:docPartObj>
    </w:sdtPr>
    <w:sdtEndPr/>
    <w:sdtContent>
      <w:p w:rsidR="008E7445" w:rsidRDefault="00180735">
        <w:pPr>
          <w:pStyle w:val="aa"/>
          <w:jc w:val="center"/>
        </w:pPr>
      </w:p>
    </w:sdtContent>
  </w:sdt>
  <w:p w:rsidR="008E7445" w:rsidRDefault="008E744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66B04"/>
    <w:multiLevelType w:val="hybridMultilevel"/>
    <w:tmpl w:val="ED30DA0A"/>
    <w:lvl w:ilvl="0" w:tplc="FF368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400C74"/>
    <w:multiLevelType w:val="hybridMultilevel"/>
    <w:tmpl w:val="78362ADA"/>
    <w:lvl w:ilvl="0" w:tplc="FF368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EC32E0"/>
    <w:multiLevelType w:val="hybridMultilevel"/>
    <w:tmpl w:val="90F8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04C5B"/>
    <w:rsid w:val="000127F7"/>
    <w:rsid w:val="000174B2"/>
    <w:rsid w:val="000246AE"/>
    <w:rsid w:val="00033533"/>
    <w:rsid w:val="00041215"/>
    <w:rsid w:val="00045111"/>
    <w:rsid w:val="00045304"/>
    <w:rsid w:val="00053869"/>
    <w:rsid w:val="00054428"/>
    <w:rsid w:val="00057FE4"/>
    <w:rsid w:val="00063559"/>
    <w:rsid w:val="00066C50"/>
    <w:rsid w:val="00076132"/>
    <w:rsid w:val="00077162"/>
    <w:rsid w:val="00082619"/>
    <w:rsid w:val="00090930"/>
    <w:rsid w:val="00094A51"/>
    <w:rsid w:val="00095795"/>
    <w:rsid w:val="00097504"/>
    <w:rsid w:val="000B1239"/>
    <w:rsid w:val="000C15D0"/>
    <w:rsid w:val="000C2DB2"/>
    <w:rsid w:val="000C7139"/>
    <w:rsid w:val="000E53EF"/>
    <w:rsid w:val="000F7A07"/>
    <w:rsid w:val="00112C1A"/>
    <w:rsid w:val="00113F00"/>
    <w:rsid w:val="00122D78"/>
    <w:rsid w:val="00130DB2"/>
    <w:rsid w:val="00137231"/>
    <w:rsid w:val="00140E22"/>
    <w:rsid w:val="00154803"/>
    <w:rsid w:val="00161A57"/>
    <w:rsid w:val="00164A69"/>
    <w:rsid w:val="00165A97"/>
    <w:rsid w:val="00180140"/>
    <w:rsid w:val="00180735"/>
    <w:rsid w:val="00181702"/>
    <w:rsid w:val="00181A55"/>
    <w:rsid w:val="0018739B"/>
    <w:rsid w:val="00191F1C"/>
    <w:rsid w:val="001B13C3"/>
    <w:rsid w:val="001B7D27"/>
    <w:rsid w:val="001C15D6"/>
    <w:rsid w:val="001C4098"/>
    <w:rsid w:val="001D00F5"/>
    <w:rsid w:val="001D2E64"/>
    <w:rsid w:val="001D4724"/>
    <w:rsid w:val="001E6D82"/>
    <w:rsid w:val="001F6296"/>
    <w:rsid w:val="002016E9"/>
    <w:rsid w:val="00213104"/>
    <w:rsid w:val="002150D3"/>
    <w:rsid w:val="00233FCB"/>
    <w:rsid w:val="0023596F"/>
    <w:rsid w:val="00237D7B"/>
    <w:rsid w:val="00242564"/>
    <w:rsid w:val="0024385A"/>
    <w:rsid w:val="00243A93"/>
    <w:rsid w:val="00250688"/>
    <w:rsid w:val="00257670"/>
    <w:rsid w:val="00262A43"/>
    <w:rsid w:val="002718E2"/>
    <w:rsid w:val="00275B39"/>
    <w:rsid w:val="002818C3"/>
    <w:rsid w:val="00295AC8"/>
    <w:rsid w:val="002A14B9"/>
    <w:rsid w:val="002A419A"/>
    <w:rsid w:val="002B2A13"/>
    <w:rsid w:val="002B780E"/>
    <w:rsid w:val="002C0D36"/>
    <w:rsid w:val="002C1742"/>
    <w:rsid w:val="002C26A3"/>
    <w:rsid w:val="002C2B5A"/>
    <w:rsid w:val="002C5B0F"/>
    <w:rsid w:val="002D5D0F"/>
    <w:rsid w:val="002D793D"/>
    <w:rsid w:val="002E4E87"/>
    <w:rsid w:val="002F3844"/>
    <w:rsid w:val="0030022E"/>
    <w:rsid w:val="0030335E"/>
    <w:rsid w:val="00313CF4"/>
    <w:rsid w:val="0031799B"/>
    <w:rsid w:val="00327B6F"/>
    <w:rsid w:val="0033288C"/>
    <w:rsid w:val="00361DD5"/>
    <w:rsid w:val="003644EA"/>
    <w:rsid w:val="00367BB8"/>
    <w:rsid w:val="0037231B"/>
    <w:rsid w:val="00374C3C"/>
    <w:rsid w:val="0038403D"/>
    <w:rsid w:val="00386E31"/>
    <w:rsid w:val="00397C94"/>
    <w:rsid w:val="003A1194"/>
    <w:rsid w:val="003A4C4E"/>
    <w:rsid w:val="003B0709"/>
    <w:rsid w:val="003B0A7B"/>
    <w:rsid w:val="003B52E1"/>
    <w:rsid w:val="003C30E0"/>
    <w:rsid w:val="003D42EC"/>
    <w:rsid w:val="003D5C8F"/>
    <w:rsid w:val="003E29B6"/>
    <w:rsid w:val="003E6A63"/>
    <w:rsid w:val="003E7E98"/>
    <w:rsid w:val="00402B55"/>
    <w:rsid w:val="00403E79"/>
    <w:rsid w:val="00410966"/>
    <w:rsid w:val="004156A1"/>
    <w:rsid w:val="00417828"/>
    <w:rsid w:val="00426174"/>
    <w:rsid w:val="0043251D"/>
    <w:rsid w:val="0043505F"/>
    <w:rsid w:val="004351FE"/>
    <w:rsid w:val="00437891"/>
    <w:rsid w:val="004415AF"/>
    <w:rsid w:val="004421EF"/>
    <w:rsid w:val="004440D5"/>
    <w:rsid w:val="004549E8"/>
    <w:rsid w:val="00461216"/>
    <w:rsid w:val="00463D54"/>
    <w:rsid w:val="0046569C"/>
    <w:rsid w:val="0046576E"/>
    <w:rsid w:val="00466B97"/>
    <w:rsid w:val="00467B19"/>
    <w:rsid w:val="00470368"/>
    <w:rsid w:val="0048440A"/>
    <w:rsid w:val="00484749"/>
    <w:rsid w:val="004A0B15"/>
    <w:rsid w:val="004B221A"/>
    <w:rsid w:val="004C7560"/>
    <w:rsid w:val="004D5E90"/>
    <w:rsid w:val="004E00B2"/>
    <w:rsid w:val="004E1446"/>
    <w:rsid w:val="004E5202"/>
    <w:rsid w:val="004E5364"/>
    <w:rsid w:val="004E554E"/>
    <w:rsid w:val="004E6A87"/>
    <w:rsid w:val="004F6C15"/>
    <w:rsid w:val="00503942"/>
    <w:rsid w:val="00503FC3"/>
    <w:rsid w:val="00507E0C"/>
    <w:rsid w:val="00511C1F"/>
    <w:rsid w:val="00525D1B"/>
    <w:rsid w:val="005271B3"/>
    <w:rsid w:val="005578C9"/>
    <w:rsid w:val="00563B33"/>
    <w:rsid w:val="00576D34"/>
    <w:rsid w:val="00583478"/>
    <w:rsid w:val="005846D7"/>
    <w:rsid w:val="005A33CA"/>
    <w:rsid w:val="005A46F6"/>
    <w:rsid w:val="005B05F7"/>
    <w:rsid w:val="005D2494"/>
    <w:rsid w:val="005E4DD2"/>
    <w:rsid w:val="005F11A7"/>
    <w:rsid w:val="005F1F7D"/>
    <w:rsid w:val="005F7672"/>
    <w:rsid w:val="006039EF"/>
    <w:rsid w:val="00610C53"/>
    <w:rsid w:val="00614DBF"/>
    <w:rsid w:val="00617125"/>
    <w:rsid w:val="0061780A"/>
    <w:rsid w:val="006271E6"/>
    <w:rsid w:val="00630805"/>
    <w:rsid w:val="00631037"/>
    <w:rsid w:val="006458F9"/>
    <w:rsid w:val="00646058"/>
    <w:rsid w:val="006468F4"/>
    <w:rsid w:val="00646EF1"/>
    <w:rsid w:val="00650CAB"/>
    <w:rsid w:val="00655FDA"/>
    <w:rsid w:val="00663D27"/>
    <w:rsid w:val="00681BFE"/>
    <w:rsid w:val="00682DCC"/>
    <w:rsid w:val="0069601C"/>
    <w:rsid w:val="006A3DE7"/>
    <w:rsid w:val="006A541B"/>
    <w:rsid w:val="006B115E"/>
    <w:rsid w:val="006C4349"/>
    <w:rsid w:val="006D38F6"/>
    <w:rsid w:val="006E593A"/>
    <w:rsid w:val="006E6DA5"/>
    <w:rsid w:val="006F3F0D"/>
    <w:rsid w:val="006F5D44"/>
    <w:rsid w:val="006F7FCA"/>
    <w:rsid w:val="00714E3D"/>
    <w:rsid w:val="00714F8B"/>
    <w:rsid w:val="00715D10"/>
    <w:rsid w:val="00723DC2"/>
    <w:rsid w:val="00725A0F"/>
    <w:rsid w:val="00736848"/>
    <w:rsid w:val="00737B55"/>
    <w:rsid w:val="0074156B"/>
    <w:rsid w:val="00741752"/>
    <w:rsid w:val="00744B7F"/>
    <w:rsid w:val="007458F7"/>
    <w:rsid w:val="007638A0"/>
    <w:rsid w:val="007742FA"/>
    <w:rsid w:val="00776C8D"/>
    <w:rsid w:val="007B3851"/>
    <w:rsid w:val="007C1D34"/>
    <w:rsid w:val="007C30D5"/>
    <w:rsid w:val="007D3340"/>
    <w:rsid w:val="007D746A"/>
    <w:rsid w:val="007E07F2"/>
    <w:rsid w:val="007E7ADA"/>
    <w:rsid w:val="007F3D5B"/>
    <w:rsid w:val="007F7A62"/>
    <w:rsid w:val="00803AFA"/>
    <w:rsid w:val="00811033"/>
    <w:rsid w:val="00812B9A"/>
    <w:rsid w:val="00820759"/>
    <w:rsid w:val="008222B7"/>
    <w:rsid w:val="0082466A"/>
    <w:rsid w:val="00825303"/>
    <w:rsid w:val="00840DCB"/>
    <w:rsid w:val="00841940"/>
    <w:rsid w:val="0085578D"/>
    <w:rsid w:val="00860C71"/>
    <w:rsid w:val="008708D4"/>
    <w:rsid w:val="00884877"/>
    <w:rsid w:val="0089042F"/>
    <w:rsid w:val="00894735"/>
    <w:rsid w:val="008B1995"/>
    <w:rsid w:val="008B668F"/>
    <w:rsid w:val="008B6879"/>
    <w:rsid w:val="008C0054"/>
    <w:rsid w:val="008D4E3F"/>
    <w:rsid w:val="008D6646"/>
    <w:rsid w:val="008D7127"/>
    <w:rsid w:val="008E4107"/>
    <w:rsid w:val="008E5EE7"/>
    <w:rsid w:val="008E7445"/>
    <w:rsid w:val="008F2635"/>
    <w:rsid w:val="008F2B2C"/>
    <w:rsid w:val="008F4163"/>
    <w:rsid w:val="008F7BD9"/>
    <w:rsid w:val="00900D44"/>
    <w:rsid w:val="00907229"/>
    <w:rsid w:val="0091585A"/>
    <w:rsid w:val="00925E4D"/>
    <w:rsid w:val="009277F0"/>
    <w:rsid w:val="0093395B"/>
    <w:rsid w:val="0093644D"/>
    <w:rsid w:val="0094073A"/>
    <w:rsid w:val="00950B12"/>
    <w:rsid w:val="0095264E"/>
    <w:rsid w:val="00952807"/>
    <w:rsid w:val="0095344D"/>
    <w:rsid w:val="0095632E"/>
    <w:rsid w:val="00963270"/>
    <w:rsid w:val="0096751B"/>
    <w:rsid w:val="00973602"/>
    <w:rsid w:val="009750E8"/>
    <w:rsid w:val="00977EA9"/>
    <w:rsid w:val="009905A9"/>
    <w:rsid w:val="0099384D"/>
    <w:rsid w:val="00997969"/>
    <w:rsid w:val="009A2D81"/>
    <w:rsid w:val="009A471F"/>
    <w:rsid w:val="009A7226"/>
    <w:rsid w:val="009C7960"/>
    <w:rsid w:val="009D1FEE"/>
    <w:rsid w:val="009E5039"/>
    <w:rsid w:val="009E6910"/>
    <w:rsid w:val="009E69C7"/>
    <w:rsid w:val="009F2CA6"/>
    <w:rsid w:val="009F320C"/>
    <w:rsid w:val="00A0289A"/>
    <w:rsid w:val="00A04EAB"/>
    <w:rsid w:val="00A0688F"/>
    <w:rsid w:val="00A1597D"/>
    <w:rsid w:val="00A20AFA"/>
    <w:rsid w:val="00A331C3"/>
    <w:rsid w:val="00A43195"/>
    <w:rsid w:val="00A43677"/>
    <w:rsid w:val="00A451F4"/>
    <w:rsid w:val="00A55B40"/>
    <w:rsid w:val="00A7128F"/>
    <w:rsid w:val="00A8215E"/>
    <w:rsid w:val="00A8227F"/>
    <w:rsid w:val="00A834AC"/>
    <w:rsid w:val="00A84370"/>
    <w:rsid w:val="00AB3ECC"/>
    <w:rsid w:val="00AB55CB"/>
    <w:rsid w:val="00AB719C"/>
    <w:rsid w:val="00AB7A1D"/>
    <w:rsid w:val="00AC4329"/>
    <w:rsid w:val="00AC7CEC"/>
    <w:rsid w:val="00AD2467"/>
    <w:rsid w:val="00AD5CDE"/>
    <w:rsid w:val="00AE2D06"/>
    <w:rsid w:val="00AF4CE7"/>
    <w:rsid w:val="00B03CBE"/>
    <w:rsid w:val="00B11806"/>
    <w:rsid w:val="00B12F65"/>
    <w:rsid w:val="00B17A8B"/>
    <w:rsid w:val="00B237CE"/>
    <w:rsid w:val="00B33D76"/>
    <w:rsid w:val="00B35D12"/>
    <w:rsid w:val="00B4612A"/>
    <w:rsid w:val="00B57096"/>
    <w:rsid w:val="00B625E9"/>
    <w:rsid w:val="00B759EC"/>
    <w:rsid w:val="00B75E4C"/>
    <w:rsid w:val="00B77004"/>
    <w:rsid w:val="00B81EC3"/>
    <w:rsid w:val="00B81EF5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BF3AA4"/>
    <w:rsid w:val="00C1700B"/>
    <w:rsid w:val="00C17533"/>
    <w:rsid w:val="00C35B9F"/>
    <w:rsid w:val="00C366DA"/>
    <w:rsid w:val="00C37B1E"/>
    <w:rsid w:val="00C442AB"/>
    <w:rsid w:val="00C502D0"/>
    <w:rsid w:val="00C54E10"/>
    <w:rsid w:val="00C5596B"/>
    <w:rsid w:val="00C62CA2"/>
    <w:rsid w:val="00C73DCC"/>
    <w:rsid w:val="00C761C2"/>
    <w:rsid w:val="00C90D3D"/>
    <w:rsid w:val="00C95896"/>
    <w:rsid w:val="00CA7E87"/>
    <w:rsid w:val="00CB255B"/>
    <w:rsid w:val="00CC343C"/>
    <w:rsid w:val="00CC57BF"/>
    <w:rsid w:val="00CD2876"/>
    <w:rsid w:val="00CE0A82"/>
    <w:rsid w:val="00CE10ED"/>
    <w:rsid w:val="00CE12C8"/>
    <w:rsid w:val="00CF5A11"/>
    <w:rsid w:val="00D0255A"/>
    <w:rsid w:val="00D030CF"/>
    <w:rsid w:val="00D04860"/>
    <w:rsid w:val="00D1579F"/>
    <w:rsid w:val="00D16B35"/>
    <w:rsid w:val="00D206A1"/>
    <w:rsid w:val="00D26826"/>
    <w:rsid w:val="00D31705"/>
    <w:rsid w:val="00D330ED"/>
    <w:rsid w:val="00D34C87"/>
    <w:rsid w:val="00D50172"/>
    <w:rsid w:val="00D50D1B"/>
    <w:rsid w:val="00D57C06"/>
    <w:rsid w:val="00D738D4"/>
    <w:rsid w:val="00D8142F"/>
    <w:rsid w:val="00D87509"/>
    <w:rsid w:val="00D87ED8"/>
    <w:rsid w:val="00D928E2"/>
    <w:rsid w:val="00DB2795"/>
    <w:rsid w:val="00DB40AF"/>
    <w:rsid w:val="00DD13F9"/>
    <w:rsid w:val="00DD3770"/>
    <w:rsid w:val="00DD3A94"/>
    <w:rsid w:val="00DE6E73"/>
    <w:rsid w:val="00DF3901"/>
    <w:rsid w:val="00DF3A35"/>
    <w:rsid w:val="00E0127C"/>
    <w:rsid w:val="00E06EE7"/>
    <w:rsid w:val="00E14372"/>
    <w:rsid w:val="00E1474B"/>
    <w:rsid w:val="00E159EE"/>
    <w:rsid w:val="00E21060"/>
    <w:rsid w:val="00E23725"/>
    <w:rsid w:val="00E40D0A"/>
    <w:rsid w:val="00E4321B"/>
    <w:rsid w:val="00E43CC4"/>
    <w:rsid w:val="00E46083"/>
    <w:rsid w:val="00E5075F"/>
    <w:rsid w:val="00E61A8D"/>
    <w:rsid w:val="00E72DA7"/>
    <w:rsid w:val="00E823DD"/>
    <w:rsid w:val="00E8524F"/>
    <w:rsid w:val="00EA6580"/>
    <w:rsid w:val="00EA68B2"/>
    <w:rsid w:val="00EC2DBB"/>
    <w:rsid w:val="00ED37A8"/>
    <w:rsid w:val="00ED6AF5"/>
    <w:rsid w:val="00EF524F"/>
    <w:rsid w:val="00F1025D"/>
    <w:rsid w:val="00F148B5"/>
    <w:rsid w:val="00F166B2"/>
    <w:rsid w:val="00F259E4"/>
    <w:rsid w:val="00F25F5D"/>
    <w:rsid w:val="00F31EAA"/>
    <w:rsid w:val="00F3768C"/>
    <w:rsid w:val="00F46EC1"/>
    <w:rsid w:val="00F522F8"/>
    <w:rsid w:val="00F52709"/>
    <w:rsid w:val="00F54DB1"/>
    <w:rsid w:val="00F54E2E"/>
    <w:rsid w:val="00F63133"/>
    <w:rsid w:val="00F76EF9"/>
    <w:rsid w:val="00F81A81"/>
    <w:rsid w:val="00F863F4"/>
    <w:rsid w:val="00F93FFF"/>
    <w:rsid w:val="00FA24C5"/>
    <w:rsid w:val="00FB07AA"/>
    <w:rsid w:val="00FB47AC"/>
    <w:rsid w:val="00FC334E"/>
    <w:rsid w:val="00FC373B"/>
    <w:rsid w:val="00FC5EC8"/>
    <w:rsid w:val="00FD4111"/>
    <w:rsid w:val="00FD781E"/>
    <w:rsid w:val="00FE0846"/>
    <w:rsid w:val="00FE2BF1"/>
    <w:rsid w:val="00FF13C0"/>
    <w:rsid w:val="00FF14C9"/>
    <w:rsid w:val="00FF26A3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3FF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rPr>
      <w:rFonts w:ascii="Calibri" w:eastAsia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F4C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rsid w:val="00AF4CE7"/>
    <w:pPr>
      <w:widowControl w:val="0"/>
      <w:suppressLineNumbers/>
      <w:suppressAutoHyphens/>
      <w:autoSpaceDN w:val="0"/>
      <w:textAlignment w:val="baseline"/>
    </w:pPr>
    <w:rPr>
      <w:rFonts w:ascii="Tempora LGC Uni" w:eastAsia="Tahoma" w:hAnsi="Tempora LGC Uni" w:cs="Lohit Devanagari"/>
      <w:kern w:val="3"/>
      <w:lang w:eastAsia="zh-CN" w:bidi="hi-IN"/>
    </w:rPr>
  </w:style>
  <w:style w:type="paragraph" w:customStyle="1" w:styleId="TableHeading">
    <w:name w:val="Table Heading"/>
    <w:basedOn w:val="TableContents"/>
    <w:rsid w:val="00AF4CE7"/>
    <w:pPr>
      <w:jc w:val="center"/>
    </w:pPr>
    <w:rPr>
      <w:b/>
      <w:bCs/>
    </w:rPr>
  </w:style>
  <w:style w:type="character" w:customStyle="1" w:styleId="211pt">
    <w:name w:val="Основной текст (2) + 11 pt"/>
    <w:basedOn w:val="a0"/>
    <w:rsid w:val="00AF4CE7"/>
    <w:rPr>
      <w:rFonts w:ascii="Times New Roman" w:eastAsia="Times New Roman" w:hAnsi="Times New Roman" w:cs="Times New Roman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paragraph" w:customStyle="1" w:styleId="ad">
    <w:name w:val="Содержимое таблицы"/>
    <w:basedOn w:val="a"/>
    <w:rsid w:val="00AF4CE7"/>
    <w:pPr>
      <w:widowControl w:val="0"/>
      <w:suppressLineNumbers/>
      <w:autoSpaceDN w:val="0"/>
    </w:pPr>
  </w:style>
  <w:style w:type="paragraph" w:styleId="HTML">
    <w:name w:val="HTML Preformatted"/>
    <w:basedOn w:val="a"/>
    <w:link w:val="HTML0"/>
    <w:rsid w:val="00AF4C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4C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1pt0">
    <w:name w:val="Основной текст (2) + 11 pt;Не курсив"/>
    <w:basedOn w:val="a0"/>
    <w:rsid w:val="00AF4CE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 w:eastAsia="ru-RU" w:bidi="ru-RU"/>
    </w:rPr>
  </w:style>
  <w:style w:type="paragraph" w:styleId="ae">
    <w:name w:val="Normal (Web)"/>
    <w:basedOn w:val="a"/>
    <w:uiPriority w:val="99"/>
    <w:unhideWhenUsed/>
    <w:rsid w:val="00B4612A"/>
    <w:pPr>
      <w:spacing w:before="100" w:beforeAutospacing="1" w:after="100" w:afterAutospacing="1"/>
    </w:pPr>
  </w:style>
  <w:style w:type="character" w:customStyle="1" w:styleId="12">
    <w:name w:val="Заголовок №1_"/>
    <w:basedOn w:val="a0"/>
    <w:link w:val="13"/>
    <w:rsid w:val="003B0A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3B0A7B"/>
    <w:pPr>
      <w:widowControl w:val="0"/>
      <w:shd w:val="clear" w:color="auto" w:fill="FFFFFF"/>
      <w:spacing w:before="42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3B0A7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B0A7B"/>
    <w:pPr>
      <w:widowControl w:val="0"/>
      <w:shd w:val="clear" w:color="auto" w:fill="FFFFFF"/>
      <w:spacing w:line="296" w:lineRule="exact"/>
      <w:jc w:val="both"/>
    </w:pPr>
    <w:rPr>
      <w:b/>
      <w:bCs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F93FF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2D79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506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85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61AB2-40DC-4486-B7B0-4648DED0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Литвиненко Валерия Евгеньевна</cp:lastModifiedBy>
  <cp:revision>2</cp:revision>
  <cp:lastPrinted>2021-10-08T05:51:00Z</cp:lastPrinted>
  <dcterms:created xsi:type="dcterms:W3CDTF">2024-11-05T21:06:00Z</dcterms:created>
  <dcterms:modified xsi:type="dcterms:W3CDTF">2024-11-05T21:06:00Z</dcterms:modified>
</cp:coreProperties>
</file>