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 w:rsidP="00003F13">
      <w:pPr>
        <w:widowControl w:val="0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 w:rsidP="00003F13">
      <w:pPr>
        <w:widowControl w:val="0"/>
        <w:jc w:val="center"/>
        <w:rPr>
          <w:sz w:val="32"/>
        </w:rPr>
      </w:pPr>
    </w:p>
    <w:p w:rsidR="00A63B9B" w:rsidRPr="008C3FA6" w:rsidRDefault="00A63B9B" w:rsidP="00003F13">
      <w:pPr>
        <w:widowControl w:val="0"/>
        <w:jc w:val="center"/>
        <w:rPr>
          <w:b/>
          <w:sz w:val="32"/>
        </w:rPr>
      </w:pPr>
    </w:p>
    <w:p w:rsidR="00A63B9B" w:rsidRPr="008C3FA6" w:rsidRDefault="00A63B9B" w:rsidP="00003F13">
      <w:pPr>
        <w:widowControl w:val="0"/>
        <w:rPr>
          <w:b/>
          <w:sz w:val="32"/>
        </w:rPr>
      </w:pPr>
    </w:p>
    <w:p w:rsidR="00A63B9B" w:rsidRPr="008C3FA6" w:rsidRDefault="002247F7" w:rsidP="00003F13">
      <w:pPr>
        <w:widowControl w:val="0"/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 w:rsidP="00003F13">
      <w:pPr>
        <w:widowControl w:val="0"/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 w:rsidP="00003F13">
      <w:pPr>
        <w:widowControl w:val="0"/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585C2B" w:rsidP="00003F13">
      <w:pPr>
        <w:widowControl w:val="0"/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 w:rsidRPr="008C3FA6">
        <w:rPr>
          <w:sz w:val="28"/>
        </w:rPr>
        <w:t>ПОСТАНОВЛЕНИ</w:t>
      </w:r>
      <w:r>
        <w:rPr>
          <w:sz w:val="28"/>
        </w:rPr>
        <w:t>Я</w:t>
      </w:r>
    </w:p>
    <w:p w:rsidR="00A63B9B" w:rsidRPr="008C3FA6" w:rsidRDefault="00A63B9B" w:rsidP="00003F13">
      <w:pPr>
        <w:widowControl w:val="0"/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003F13">
            <w:pPr>
              <w:widowControl w:val="0"/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003F13">
            <w:pPr>
              <w:widowControl w:val="0"/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 w:rsidP="00003F13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63B9B" w:rsidRPr="008C3FA6" w:rsidRDefault="00A63B9B" w:rsidP="00003F13">
      <w:pPr>
        <w:widowControl w:val="0"/>
        <w:ind w:firstLine="709"/>
        <w:jc w:val="both"/>
        <w:rPr>
          <w:sz w:val="28"/>
        </w:rPr>
      </w:pPr>
    </w:p>
    <w:tbl>
      <w:tblPr>
        <w:tblStyle w:val="af0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3B9B" w:rsidRPr="008C3FA6" w:rsidTr="002653CB">
        <w:trPr>
          <w:trHeight w:val="80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F3355" w:rsidRPr="006F3355" w:rsidRDefault="00C91A49" w:rsidP="006F3355">
            <w:pPr>
              <w:widowControl w:val="0"/>
              <w:spacing w:line="276" w:lineRule="auto"/>
              <w:ind w:left="30"/>
              <w:jc w:val="center"/>
              <w:rPr>
                <w:b/>
                <w:bCs/>
                <w:sz w:val="28"/>
              </w:rPr>
            </w:pPr>
            <w:r w:rsidRPr="00C91A49">
              <w:rPr>
                <w:b/>
                <w:bCs/>
                <w:sz w:val="28"/>
              </w:rPr>
              <w:t xml:space="preserve">Об утверждении </w:t>
            </w:r>
            <w:r w:rsidR="006F3355">
              <w:rPr>
                <w:b/>
                <w:bCs/>
                <w:sz w:val="28"/>
              </w:rPr>
              <w:t xml:space="preserve">цен </w:t>
            </w:r>
            <w:r w:rsidR="00960617">
              <w:rPr>
                <w:b/>
                <w:bCs/>
                <w:sz w:val="28"/>
              </w:rPr>
              <w:t>(тарифов</w:t>
            </w:r>
            <w:r w:rsidR="006F3355" w:rsidRPr="006F3355">
              <w:rPr>
                <w:b/>
                <w:bCs/>
                <w:sz w:val="28"/>
              </w:rPr>
              <w:t>) на электрическую энергию (мощность), приобретаемую ПАО «Камчатскэнерго» у собственников и иных владельцев объектов микрогенерации</w:t>
            </w:r>
            <w:r w:rsidR="0097303A">
              <w:rPr>
                <w:b/>
                <w:bCs/>
                <w:sz w:val="28"/>
              </w:rPr>
              <w:t>, относящихся к населению и приравненных к нему категориям потребителей,</w:t>
            </w:r>
            <w:r w:rsidR="006F3355" w:rsidRPr="006F3355">
              <w:rPr>
                <w:b/>
                <w:bCs/>
                <w:sz w:val="28"/>
              </w:rPr>
              <w:t xml:space="preserve"> на территории Центрального энергоузла Камчатского края, </w:t>
            </w:r>
          </w:p>
          <w:p w:rsidR="00A63B9B" w:rsidRPr="00585C2B" w:rsidRDefault="006F3355" w:rsidP="006F3355">
            <w:pPr>
              <w:widowControl w:val="0"/>
              <w:spacing w:line="276" w:lineRule="auto"/>
              <w:ind w:left="30"/>
              <w:jc w:val="center"/>
              <w:rPr>
                <w:b/>
                <w:bCs/>
                <w:sz w:val="28"/>
              </w:rPr>
            </w:pPr>
            <w:r w:rsidRPr="006F3355">
              <w:rPr>
                <w:b/>
                <w:bCs/>
                <w:sz w:val="28"/>
              </w:rPr>
              <w:t>на 2024 год</w:t>
            </w:r>
          </w:p>
        </w:tc>
      </w:tr>
    </w:tbl>
    <w:p w:rsidR="00F53B81" w:rsidRDefault="00F53B81" w:rsidP="00764220">
      <w:pPr>
        <w:widowControl w:val="0"/>
        <w:spacing w:line="276" w:lineRule="auto"/>
        <w:ind w:firstLine="709"/>
        <w:jc w:val="both"/>
        <w:rPr>
          <w:sz w:val="28"/>
        </w:rPr>
      </w:pPr>
    </w:p>
    <w:p w:rsidR="00D12E97" w:rsidRPr="008C3FA6" w:rsidRDefault="00D12E97" w:rsidP="00764220">
      <w:pPr>
        <w:widowControl w:val="0"/>
        <w:spacing w:line="276" w:lineRule="auto"/>
        <w:ind w:firstLine="709"/>
        <w:jc w:val="both"/>
        <w:rPr>
          <w:sz w:val="28"/>
        </w:rPr>
      </w:pPr>
    </w:p>
    <w:p w:rsidR="00BD61AA" w:rsidRPr="00BD61AA" w:rsidRDefault="009549C5" w:rsidP="00764220">
      <w:pPr>
        <w:widowControl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549C5">
        <w:rPr>
          <w:sz w:val="28"/>
          <w:szCs w:val="28"/>
        </w:rPr>
        <w:t xml:space="preserve">В соответствии с Федеральным законом от 26.03.2003 № 35-ФЗ </w:t>
      </w:r>
      <w:r w:rsidR="002653CB">
        <w:rPr>
          <w:sz w:val="28"/>
          <w:szCs w:val="28"/>
        </w:rPr>
        <w:br/>
      </w:r>
      <w:r w:rsidRPr="009549C5">
        <w:rPr>
          <w:sz w:val="28"/>
          <w:szCs w:val="28"/>
        </w:rPr>
        <w:t>«Об электроэнергетике», постановлением Правительства Российской Федерации от 29.12.2011 № 1178 «О ценообразовании в области регулируемых цен</w:t>
      </w:r>
      <w:r w:rsidR="0029583A">
        <w:rPr>
          <w:sz w:val="28"/>
          <w:szCs w:val="28"/>
        </w:rPr>
        <w:t xml:space="preserve"> (тарифов) в электроэнергетике»</w:t>
      </w:r>
      <w:r w:rsidR="00764220" w:rsidRPr="00E2597C">
        <w:rPr>
          <w:sz w:val="28"/>
          <w:szCs w:val="28"/>
        </w:rPr>
        <w:t>,</w:t>
      </w:r>
      <w:r w:rsidR="00764220">
        <w:rPr>
          <w:sz w:val="28"/>
          <w:szCs w:val="28"/>
        </w:rPr>
        <w:t xml:space="preserve"> </w:t>
      </w:r>
      <w:r w:rsidR="00BD61AA" w:rsidRPr="00BD61AA">
        <w:rPr>
          <w:rFonts w:eastAsia="Calibri"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="00BD61AA" w:rsidRPr="00BD61AA">
        <w:rPr>
          <w:sz w:val="28"/>
          <w:szCs w:val="28"/>
        </w:rPr>
        <w:t xml:space="preserve"> протоколом Правления Региональной службы по тарифам и ценам Камчатского края от </w:t>
      </w:r>
      <w:r w:rsidR="0029583A">
        <w:rPr>
          <w:sz w:val="28"/>
          <w:szCs w:val="28"/>
        </w:rPr>
        <w:t>ХХ.ХХ</w:t>
      </w:r>
      <w:r w:rsidR="00BD61AA" w:rsidRPr="002653CB">
        <w:rPr>
          <w:sz w:val="28"/>
          <w:szCs w:val="28"/>
        </w:rPr>
        <w:t>.2024 №</w:t>
      </w:r>
      <w:r w:rsidR="0097303A">
        <w:rPr>
          <w:sz w:val="28"/>
          <w:szCs w:val="28"/>
        </w:rPr>
        <w:t> </w:t>
      </w:r>
      <w:r w:rsidR="0029583A">
        <w:rPr>
          <w:sz w:val="28"/>
          <w:szCs w:val="28"/>
        </w:rPr>
        <w:t>ХХ</w:t>
      </w:r>
      <w:r w:rsidR="00FF54C9">
        <w:rPr>
          <w:sz w:val="28"/>
          <w:szCs w:val="28"/>
        </w:rPr>
        <w:t>, на основании заявления ПАО «</w:t>
      </w:r>
      <w:r w:rsidR="0097303A">
        <w:rPr>
          <w:sz w:val="28"/>
          <w:szCs w:val="28"/>
        </w:rPr>
        <w:t>Камчатскэнерго» от 14</w:t>
      </w:r>
      <w:r w:rsidR="00FF54C9">
        <w:rPr>
          <w:sz w:val="28"/>
          <w:szCs w:val="28"/>
        </w:rPr>
        <w:t>.</w:t>
      </w:r>
      <w:r w:rsidR="0097303A">
        <w:rPr>
          <w:sz w:val="28"/>
          <w:szCs w:val="28"/>
        </w:rPr>
        <w:t xml:space="preserve">10.2024 </w:t>
      </w:r>
      <w:r w:rsidR="0097303A">
        <w:rPr>
          <w:sz w:val="28"/>
          <w:szCs w:val="28"/>
        </w:rPr>
        <w:br/>
        <w:t>№ 02-02/6606</w:t>
      </w:r>
      <w:r w:rsidR="00FF54C9">
        <w:rPr>
          <w:sz w:val="28"/>
          <w:szCs w:val="28"/>
        </w:rPr>
        <w:t xml:space="preserve"> </w:t>
      </w:r>
    </w:p>
    <w:p w:rsidR="000F25D1" w:rsidRPr="00003F13" w:rsidRDefault="000F25D1" w:rsidP="00764220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A63B9B" w:rsidRPr="008C3FA6" w:rsidRDefault="002247F7" w:rsidP="00764220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003F13" w:rsidRDefault="00A63B9B" w:rsidP="00764220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BD61AA" w:rsidRPr="00652CF6" w:rsidRDefault="0029583A" w:rsidP="0029583A">
      <w:pPr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тарифы</w:t>
      </w:r>
      <w:r w:rsidRPr="0029583A">
        <w:rPr>
          <w:sz w:val="28"/>
          <w:szCs w:val="28"/>
        </w:rPr>
        <w:t xml:space="preserve"> на электрическую энергию, приобретаемую </w:t>
      </w:r>
      <w:r w:rsidRPr="00652CF6">
        <w:rPr>
          <w:sz w:val="28"/>
          <w:szCs w:val="28"/>
        </w:rPr>
        <w:t>гарантирующими поставщиками Камчатского края у собственников и иных владельцев объектов микрогенерации</w:t>
      </w:r>
      <w:r w:rsidR="0097303A" w:rsidRPr="0097303A">
        <w:rPr>
          <w:sz w:val="28"/>
          <w:szCs w:val="28"/>
        </w:rPr>
        <w:t>,</w:t>
      </w:r>
      <w:r w:rsidR="0097303A" w:rsidRPr="0097303A">
        <w:rPr>
          <w:bCs/>
          <w:sz w:val="28"/>
        </w:rPr>
        <w:t xml:space="preserve"> относящихся к населению и приравненных к нему категориям потребителей,</w:t>
      </w:r>
      <w:r w:rsidRPr="00652CF6">
        <w:rPr>
          <w:sz w:val="28"/>
          <w:szCs w:val="28"/>
        </w:rPr>
        <w:t xml:space="preserve"> Центрального энергоузла Камчатского края в 2024 году</w:t>
      </w:r>
      <w:r w:rsidR="00C91A49" w:rsidRPr="00652CF6">
        <w:rPr>
          <w:sz w:val="28"/>
          <w:szCs w:val="28"/>
        </w:rPr>
        <w:t xml:space="preserve"> согласно приложению к настоящему постановлению</w:t>
      </w:r>
      <w:r w:rsidR="00BD61AA" w:rsidRPr="00652CF6">
        <w:rPr>
          <w:bCs/>
          <w:sz w:val="28"/>
          <w:szCs w:val="28"/>
        </w:rPr>
        <w:t>.</w:t>
      </w:r>
    </w:p>
    <w:p w:rsidR="00930DDF" w:rsidRPr="00137E16" w:rsidRDefault="00BD61AA" w:rsidP="00764220">
      <w:pPr>
        <w:pStyle w:val="af1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6"/>
        <w:jc w:val="both"/>
        <w:rPr>
          <w:sz w:val="28"/>
        </w:rPr>
      </w:pPr>
      <w:r w:rsidRPr="00137E16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930DDF" w:rsidRPr="00137E16">
        <w:rPr>
          <w:sz w:val="28"/>
        </w:rPr>
        <w:t>.</w:t>
      </w:r>
    </w:p>
    <w:p w:rsidR="00003F13" w:rsidRDefault="00003F13" w:rsidP="00003F13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p w:rsidR="00764220" w:rsidRDefault="00764220" w:rsidP="00003F13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p w:rsidR="00764220" w:rsidRDefault="00764220" w:rsidP="00003F13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551"/>
      </w:tblGrid>
      <w:tr w:rsidR="00A63B9B" w:rsidRPr="008C3FA6" w:rsidTr="002653CB">
        <w:trPr>
          <w:trHeight w:val="1520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003F13">
            <w:pPr>
              <w:widowControl w:val="0"/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003F13">
            <w:pPr>
              <w:widowControl w:val="0"/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 w:rsidP="00003F13">
            <w:pPr>
              <w:widowControl w:val="0"/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003F13">
            <w:pPr>
              <w:widowControl w:val="0"/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764220" w:rsidRDefault="00764220" w:rsidP="00003F13">
      <w:pPr>
        <w:widowControl w:val="0"/>
        <w:ind w:left="4819"/>
        <w:rPr>
          <w:sz w:val="28"/>
        </w:rPr>
        <w:sectPr w:rsidR="00764220" w:rsidSect="00764220">
          <w:pgSz w:w="11906" w:h="16838"/>
          <w:pgMar w:top="1134" w:right="851" w:bottom="1134" w:left="1418" w:header="567" w:footer="709" w:gutter="0"/>
          <w:cols w:space="708"/>
          <w:titlePg/>
          <w:docGrid w:linePitch="360"/>
        </w:sectPr>
      </w:pPr>
    </w:p>
    <w:p w:rsidR="00BD61AA" w:rsidRDefault="00BD61AA" w:rsidP="00003F13">
      <w:pPr>
        <w:widowControl w:val="0"/>
        <w:ind w:left="4819"/>
        <w:rPr>
          <w:sz w:val="28"/>
        </w:rPr>
      </w:pPr>
      <w:r>
        <w:rPr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BD61AA" w:rsidRDefault="00BD61AA" w:rsidP="00003F13">
      <w:pPr>
        <w:widowControl w:val="0"/>
        <w:ind w:left="4819"/>
        <w:rPr>
          <w:sz w:val="28"/>
        </w:rPr>
      </w:pPr>
      <w:r w:rsidRPr="002653CB">
        <w:rPr>
          <w:sz w:val="28"/>
        </w:rPr>
        <w:t xml:space="preserve">от </w:t>
      </w:r>
      <w:r w:rsidR="0029583A">
        <w:rPr>
          <w:sz w:val="28"/>
        </w:rPr>
        <w:t>ХХ.ХХ</w:t>
      </w:r>
      <w:r w:rsidRPr="002653CB">
        <w:rPr>
          <w:sz w:val="28"/>
        </w:rPr>
        <w:t xml:space="preserve">.2024 № </w:t>
      </w:r>
      <w:r w:rsidR="0029583A">
        <w:rPr>
          <w:sz w:val="28"/>
        </w:rPr>
        <w:t>ХХ</w:t>
      </w:r>
      <w:r w:rsidRPr="002653CB">
        <w:rPr>
          <w:sz w:val="28"/>
        </w:rPr>
        <w:t>-Н</w:t>
      </w:r>
    </w:p>
    <w:p w:rsidR="00BD61AA" w:rsidRDefault="00BD61AA" w:rsidP="00003F13">
      <w:pPr>
        <w:widowControl w:val="0"/>
        <w:ind w:left="4819"/>
        <w:rPr>
          <w:sz w:val="28"/>
        </w:rPr>
      </w:pPr>
    </w:p>
    <w:p w:rsidR="00C91A49" w:rsidRDefault="00C91A49" w:rsidP="001246B5">
      <w:pPr>
        <w:keepNext/>
        <w:spacing w:before="120" w:after="120"/>
        <w:jc w:val="center"/>
        <w:outlineLvl w:val="0"/>
        <w:rPr>
          <w:rFonts w:eastAsia="Calibri"/>
          <w:bCs/>
          <w:sz w:val="28"/>
          <w:szCs w:val="28"/>
        </w:rPr>
      </w:pPr>
      <w:r w:rsidRPr="0029583A">
        <w:rPr>
          <w:rFonts w:eastAsia="Calibri"/>
          <w:bCs/>
          <w:sz w:val="28"/>
          <w:szCs w:val="28"/>
        </w:rPr>
        <w:t xml:space="preserve">Цены (тарифы) на электрическую энергию (мощность), </w:t>
      </w:r>
      <w:r w:rsidR="0029583A" w:rsidRPr="0029583A">
        <w:rPr>
          <w:bCs/>
          <w:sz w:val="28"/>
        </w:rPr>
        <w:t>приобретаемую</w:t>
      </w:r>
      <w:r w:rsidRPr="0029583A">
        <w:rPr>
          <w:rFonts w:eastAsia="Calibri"/>
          <w:bCs/>
          <w:sz w:val="28"/>
          <w:szCs w:val="28"/>
        </w:rPr>
        <w:t xml:space="preserve"> ПАО «Камчатскэнерго» </w:t>
      </w:r>
      <w:r w:rsidR="0029583A" w:rsidRPr="0029583A">
        <w:rPr>
          <w:bCs/>
          <w:sz w:val="28"/>
        </w:rPr>
        <w:t>у собственников и иных владельцев объектов микрогенерации</w:t>
      </w:r>
      <w:r w:rsidR="0097303A">
        <w:rPr>
          <w:bCs/>
          <w:sz w:val="28"/>
        </w:rPr>
        <w:t>,</w:t>
      </w:r>
      <w:r w:rsidR="0097303A" w:rsidRPr="0097303A">
        <w:rPr>
          <w:bCs/>
          <w:sz w:val="28"/>
        </w:rPr>
        <w:t xml:space="preserve"> относящихся к населению и приравненных к нему категориям потребителей,</w:t>
      </w:r>
      <w:r w:rsidR="0097303A" w:rsidRPr="00652CF6">
        <w:rPr>
          <w:sz w:val="28"/>
          <w:szCs w:val="28"/>
        </w:rPr>
        <w:t xml:space="preserve"> </w:t>
      </w:r>
      <w:r w:rsidR="00FF54C9">
        <w:rPr>
          <w:bCs/>
          <w:sz w:val="28"/>
        </w:rPr>
        <w:t xml:space="preserve"> </w:t>
      </w:r>
      <w:r w:rsidR="00FF54C9">
        <w:rPr>
          <w:rFonts w:eastAsia="Calibri"/>
          <w:bCs/>
          <w:sz w:val="28"/>
          <w:szCs w:val="28"/>
        </w:rPr>
        <w:t>на территории Центрального энергоузла Камчатского края</w:t>
      </w:r>
      <w:r w:rsidRPr="0029583A">
        <w:rPr>
          <w:rFonts w:eastAsia="Calibri"/>
          <w:bCs/>
          <w:sz w:val="28"/>
          <w:szCs w:val="28"/>
        </w:rPr>
        <w:t xml:space="preserve">, </w:t>
      </w:r>
      <w:r w:rsidR="00FF54C9">
        <w:rPr>
          <w:rFonts w:eastAsia="Calibri"/>
          <w:bCs/>
          <w:sz w:val="28"/>
          <w:szCs w:val="28"/>
        </w:rPr>
        <w:br/>
      </w:r>
      <w:r w:rsidRPr="0029583A">
        <w:rPr>
          <w:rFonts w:eastAsia="Calibri"/>
          <w:bCs/>
          <w:sz w:val="28"/>
          <w:szCs w:val="28"/>
        </w:rPr>
        <w:t>на 2024</w:t>
      </w:r>
      <w:r w:rsidR="00FF54C9">
        <w:rPr>
          <w:rFonts w:eastAsia="Calibri"/>
          <w:bCs/>
          <w:sz w:val="28"/>
          <w:szCs w:val="28"/>
        </w:rPr>
        <w:t xml:space="preserve"> год</w:t>
      </w:r>
      <w:r w:rsidRPr="00C91A49">
        <w:rPr>
          <w:rFonts w:eastAsia="Calibri"/>
          <w:bCs/>
          <w:sz w:val="28"/>
          <w:szCs w:val="28"/>
        </w:rPr>
        <w:t xml:space="preserve"> (без НДС)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19"/>
        <w:gridCol w:w="31"/>
        <w:gridCol w:w="3668"/>
      </w:tblGrid>
      <w:tr w:rsidR="0097303A" w:rsidRPr="00B11AAF" w:rsidTr="00777052">
        <w:trPr>
          <w:jc w:val="center"/>
        </w:trPr>
        <w:tc>
          <w:tcPr>
            <w:tcW w:w="809" w:type="dxa"/>
            <w:vMerge w:val="restart"/>
            <w:vAlign w:val="center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№ п/п</w:t>
            </w:r>
          </w:p>
        </w:tc>
        <w:tc>
          <w:tcPr>
            <w:tcW w:w="5119" w:type="dxa"/>
            <w:vMerge w:val="restart"/>
            <w:vAlign w:val="center"/>
          </w:tcPr>
          <w:p w:rsidR="0097303A" w:rsidRPr="00B11AAF" w:rsidRDefault="0097303A" w:rsidP="0097303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Категории потребителей с разбивкой</w:t>
            </w:r>
            <w:r w:rsidRPr="00B11AAF">
              <w:rPr>
                <w:rFonts w:ascii="Times New Roman" w:hAnsi="Times New Roman"/>
                <w:sz w:val="20"/>
              </w:rPr>
              <w:br/>
              <w:t>по ставкам и дифференциацией</w:t>
            </w:r>
            <w:r w:rsidRPr="00B11AAF">
              <w:rPr>
                <w:rFonts w:ascii="Times New Roman" w:hAnsi="Times New Roman"/>
                <w:sz w:val="20"/>
              </w:rPr>
              <w:br/>
              <w:t>по зонам суток</w:t>
            </w:r>
          </w:p>
        </w:tc>
        <w:tc>
          <w:tcPr>
            <w:tcW w:w="3699" w:type="dxa"/>
            <w:gridSpan w:val="2"/>
            <w:vAlign w:val="center"/>
          </w:tcPr>
          <w:p w:rsidR="0097303A" w:rsidRPr="00B11AAF" w:rsidRDefault="0097303A" w:rsidP="0097303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Цена (тариф), руб./кВт·ч</w:t>
            </w:r>
          </w:p>
          <w:p w:rsidR="0097303A" w:rsidRPr="00B11AAF" w:rsidRDefault="0097303A" w:rsidP="0097303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(с учетом НДС)</w:t>
            </w:r>
          </w:p>
        </w:tc>
      </w:tr>
      <w:tr w:rsidR="00777052" w:rsidRPr="003F62B2" w:rsidTr="00777052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777052" w:rsidRDefault="00777052" w:rsidP="0097303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777052" w:rsidRPr="003F62B2" w:rsidRDefault="00777052" w:rsidP="0097303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777052" w:rsidRPr="00B11AAF" w:rsidTr="00A567A2">
        <w:trPr>
          <w:jc w:val="center"/>
        </w:trPr>
        <w:tc>
          <w:tcPr>
            <w:tcW w:w="809" w:type="dxa"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</w:t>
            </w: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center"/>
              <w:rPr>
                <w:sz w:val="20"/>
              </w:rPr>
            </w:pPr>
            <w:r w:rsidRPr="00B11AAF">
              <w:rPr>
                <w:sz w:val="20"/>
              </w:rPr>
              <w:t>2</w:t>
            </w:r>
          </w:p>
        </w:tc>
        <w:tc>
          <w:tcPr>
            <w:tcW w:w="3699" w:type="dxa"/>
            <w:gridSpan w:val="2"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</w:t>
            </w:r>
          </w:p>
        </w:tc>
        <w:tc>
          <w:tcPr>
            <w:tcW w:w="8818" w:type="dxa"/>
            <w:gridSpan w:val="3"/>
          </w:tcPr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</w:t>
            </w:r>
            <w:r w:rsidRPr="00B11AAF">
              <w:rPr>
                <w:rFonts w:ascii="Times New Roman" w:hAnsi="Times New Roman"/>
                <w:sz w:val="20"/>
              </w:rPr>
              <w:br/>
              <w:t>и потребителей, указанных в строках 2–8: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97303A" w:rsidRPr="00B11AAF" w:rsidRDefault="0097303A" w:rsidP="00137E16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</w:t>
            </w:r>
            <w:r w:rsidR="00137E16">
              <w:rPr>
                <w:rFonts w:ascii="Times New Roman" w:hAnsi="Times New Roman"/>
                <w:sz w:val="20"/>
              </w:rPr>
              <w:t xml:space="preserve"> </w:t>
            </w:r>
            <w:bookmarkStart w:id="2" w:name="_GoBack"/>
            <w:bookmarkEnd w:id="2"/>
            <w:r w:rsidRPr="00B11AAF">
              <w:rPr>
                <w:rFonts w:ascii="Times New Roman" w:hAnsi="Times New Roman"/>
                <w:sz w:val="20"/>
              </w:rPr>
              <w:t>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77052" w:rsidRPr="00B11AAF" w:rsidTr="00E7306E">
        <w:trPr>
          <w:jc w:val="center"/>
        </w:trPr>
        <w:tc>
          <w:tcPr>
            <w:tcW w:w="809" w:type="dxa"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1.1</w:t>
            </w: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616FFD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1.2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777052" w:rsidRPr="00B11AAF" w:rsidTr="001159EA">
        <w:trPr>
          <w:trHeight w:val="335"/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</w:tr>
      <w:tr w:rsidR="00777052" w:rsidRPr="00B11AAF" w:rsidTr="001A013B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1.3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777052" w:rsidRPr="00B11AAF" w:rsidTr="00D75B2B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7,84</w:t>
            </w:r>
          </w:p>
        </w:tc>
      </w:tr>
      <w:tr w:rsidR="00777052" w:rsidRPr="00B11AAF" w:rsidTr="0024559C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</w:tr>
      <w:tr w:rsidR="00777052" w:rsidRPr="00B11AAF" w:rsidTr="00800CC0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2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77052" w:rsidRPr="00B11AAF" w:rsidTr="006434D2">
        <w:trPr>
          <w:jc w:val="center"/>
        </w:trPr>
        <w:tc>
          <w:tcPr>
            <w:tcW w:w="809" w:type="dxa"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2.1</w:t>
            </w:r>
          </w:p>
        </w:tc>
        <w:tc>
          <w:tcPr>
            <w:tcW w:w="5150" w:type="dxa"/>
            <w:gridSpan w:val="2"/>
            <w:vAlign w:val="center"/>
          </w:tcPr>
          <w:p w:rsidR="00777052" w:rsidRPr="00B11AAF" w:rsidRDefault="00777052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2.2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777052" w:rsidRPr="00B11AAF" w:rsidTr="00370F8D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777052" w:rsidRPr="00B11AAF" w:rsidTr="00F81E30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2.3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777052" w:rsidRPr="00B11AAF" w:rsidTr="0051504C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777052" w:rsidRPr="00B11AAF" w:rsidTr="0073531A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777052" w:rsidRPr="00B11AAF" w:rsidTr="00B07027">
        <w:trPr>
          <w:jc w:val="center"/>
        </w:trPr>
        <w:tc>
          <w:tcPr>
            <w:tcW w:w="809" w:type="dxa"/>
            <w:vMerge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777052" w:rsidRPr="00B11AAF" w:rsidRDefault="00777052" w:rsidP="0097303A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77052" w:rsidRPr="00B11AAF" w:rsidTr="00276EF6">
        <w:trPr>
          <w:jc w:val="center"/>
        </w:trPr>
        <w:tc>
          <w:tcPr>
            <w:tcW w:w="809" w:type="dxa"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3.1</w:t>
            </w:r>
          </w:p>
        </w:tc>
        <w:tc>
          <w:tcPr>
            <w:tcW w:w="5150" w:type="dxa"/>
            <w:gridSpan w:val="2"/>
            <w:vAlign w:val="center"/>
          </w:tcPr>
          <w:p w:rsidR="00777052" w:rsidRPr="00B11AAF" w:rsidRDefault="00777052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3.2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6D653E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FB65C8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3.3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E46E8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D6616F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6745A2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777052" w:rsidRPr="00B11AAF" w:rsidTr="00127D94">
        <w:trPr>
          <w:jc w:val="center"/>
        </w:trPr>
        <w:tc>
          <w:tcPr>
            <w:tcW w:w="809" w:type="dxa"/>
          </w:tcPr>
          <w:p w:rsidR="00777052" w:rsidRPr="00B11AAF" w:rsidRDefault="00777052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4.1</w:t>
            </w:r>
          </w:p>
        </w:tc>
        <w:tc>
          <w:tcPr>
            <w:tcW w:w="5150" w:type="dxa"/>
            <w:gridSpan w:val="2"/>
            <w:vAlign w:val="center"/>
          </w:tcPr>
          <w:p w:rsidR="00777052" w:rsidRPr="00B11AAF" w:rsidRDefault="00777052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  <w:vAlign w:val="center"/>
          </w:tcPr>
          <w:p w:rsidR="00777052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4.2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5C7E34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C31F47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4.3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6172C6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064BD1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42774D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97303A" w:rsidRPr="00B11AAF" w:rsidRDefault="0097303A" w:rsidP="0097303A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459A0" w:rsidRPr="00B11AAF" w:rsidTr="009F11F6">
        <w:trPr>
          <w:jc w:val="center"/>
        </w:trPr>
        <w:tc>
          <w:tcPr>
            <w:tcW w:w="809" w:type="dxa"/>
          </w:tcPr>
          <w:p w:rsidR="00C459A0" w:rsidRPr="00B11AAF" w:rsidRDefault="00C459A0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5.1</w:t>
            </w:r>
          </w:p>
        </w:tc>
        <w:tc>
          <w:tcPr>
            <w:tcW w:w="5150" w:type="dxa"/>
            <w:gridSpan w:val="2"/>
            <w:vAlign w:val="center"/>
          </w:tcPr>
          <w:p w:rsidR="00C459A0" w:rsidRPr="00B11AAF" w:rsidRDefault="00C459A0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  <w:vAlign w:val="center"/>
          </w:tcPr>
          <w:p w:rsidR="00C459A0" w:rsidRPr="00B11AAF" w:rsidRDefault="00C459A0" w:rsidP="0097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97303A" w:rsidRPr="00B11AAF" w:rsidTr="00777052">
        <w:trPr>
          <w:jc w:val="center"/>
        </w:trPr>
        <w:tc>
          <w:tcPr>
            <w:tcW w:w="809" w:type="dxa"/>
            <w:vMerge w:val="restart"/>
          </w:tcPr>
          <w:p w:rsidR="0097303A" w:rsidRPr="00B11AAF" w:rsidRDefault="0097303A" w:rsidP="0097303A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5.2</w:t>
            </w:r>
          </w:p>
        </w:tc>
        <w:tc>
          <w:tcPr>
            <w:tcW w:w="8818" w:type="dxa"/>
            <w:gridSpan w:val="3"/>
            <w:vAlign w:val="center"/>
          </w:tcPr>
          <w:p w:rsidR="0097303A" w:rsidRPr="00B11AAF" w:rsidRDefault="0097303A" w:rsidP="0097303A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F64B93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0D6F0C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5.3</w:t>
            </w:r>
          </w:p>
        </w:tc>
        <w:tc>
          <w:tcPr>
            <w:tcW w:w="8818" w:type="dxa"/>
            <w:gridSpan w:val="3"/>
            <w:vAlign w:val="center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306F90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95754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95754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459A0" w:rsidRPr="00B11AAF" w:rsidTr="00676349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6.1</w:t>
            </w:r>
          </w:p>
        </w:tc>
        <w:tc>
          <w:tcPr>
            <w:tcW w:w="5150" w:type="dxa"/>
            <w:gridSpan w:val="2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6415DF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6415DF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trHeight w:val="350"/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6.3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0464EF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0464EF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5D02B6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459A0" w:rsidRPr="00B11AAF" w:rsidTr="003A0B1F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7.1</w:t>
            </w:r>
          </w:p>
        </w:tc>
        <w:tc>
          <w:tcPr>
            <w:tcW w:w="5150" w:type="dxa"/>
            <w:gridSpan w:val="2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C21F34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C21F34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7.3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583CD2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583CD2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B5DE7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</w:t>
            </w:r>
            <w:r w:rsidRPr="00B11AAF">
              <w:rPr>
                <w:rFonts w:ascii="Times New Roman" w:hAnsi="Times New Roman"/>
                <w:sz w:val="20"/>
              </w:rPr>
              <w:br/>
              <w:t>и приравненные к нему, за исключением населения и потребителей, указанных в строках 5–7: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459A0" w:rsidRPr="00B11AAF" w:rsidTr="009F6A0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8.1</w:t>
            </w:r>
          </w:p>
        </w:tc>
        <w:tc>
          <w:tcPr>
            <w:tcW w:w="5150" w:type="dxa"/>
            <w:gridSpan w:val="2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0D7892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0D7892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8.3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AA736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AA736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36BC9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Потребители, приравненные к населению: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9.1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фонда.</w:t>
            </w:r>
          </w:p>
        </w:tc>
      </w:tr>
      <w:tr w:rsidR="00C459A0" w:rsidRPr="00B11AAF" w:rsidTr="00A47090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9.1.1</w:t>
            </w:r>
          </w:p>
        </w:tc>
        <w:tc>
          <w:tcPr>
            <w:tcW w:w="5150" w:type="dxa"/>
            <w:gridSpan w:val="2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9.1.2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2A5369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2A5369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trHeight w:val="296"/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9.1.3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39186C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39186C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4D1CAF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ind w:firstLine="176"/>
              <w:jc w:val="both"/>
              <w:rPr>
                <w:sz w:val="20"/>
              </w:rPr>
            </w:pPr>
            <w:r w:rsidRPr="00B11AAF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C459A0" w:rsidRPr="00B11AAF" w:rsidTr="0019256C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9.2.1</w:t>
            </w:r>
          </w:p>
        </w:tc>
        <w:tc>
          <w:tcPr>
            <w:tcW w:w="5150" w:type="dxa"/>
            <w:gridSpan w:val="2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C459A0" w:rsidRPr="00B11AAF" w:rsidTr="00F32AD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C459A0" w:rsidRPr="00B11AAF" w:rsidTr="00F32AD5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9.2.3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C459A0" w:rsidRPr="00B11AAF" w:rsidTr="007A6934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C459A0" w:rsidRPr="00B11AAF" w:rsidTr="007A6934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3A3AF9">
        <w:trPr>
          <w:jc w:val="center"/>
        </w:trPr>
        <w:tc>
          <w:tcPr>
            <w:tcW w:w="809" w:type="dxa"/>
            <w:vMerge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C459A0" w:rsidRPr="00B11AAF" w:rsidRDefault="00C459A0" w:rsidP="00C459A0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56134E" w:rsidRPr="00B11AAF" w:rsidTr="00FB286B">
        <w:trPr>
          <w:jc w:val="center"/>
        </w:trPr>
        <w:tc>
          <w:tcPr>
            <w:tcW w:w="809" w:type="dxa"/>
          </w:tcPr>
          <w:p w:rsidR="0056134E" w:rsidRPr="00B11AAF" w:rsidRDefault="0056134E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9.3.1</w:t>
            </w:r>
          </w:p>
        </w:tc>
        <w:tc>
          <w:tcPr>
            <w:tcW w:w="5150" w:type="dxa"/>
            <w:gridSpan w:val="2"/>
          </w:tcPr>
          <w:p w:rsidR="0056134E" w:rsidRPr="00B11AAF" w:rsidRDefault="0056134E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56134E" w:rsidRPr="00B11AAF" w:rsidRDefault="0056134E" w:rsidP="00C45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C459A0" w:rsidRPr="00B11AAF" w:rsidTr="00777052">
        <w:trPr>
          <w:jc w:val="center"/>
        </w:trPr>
        <w:tc>
          <w:tcPr>
            <w:tcW w:w="809" w:type="dxa"/>
            <w:vMerge w:val="restart"/>
          </w:tcPr>
          <w:p w:rsidR="00C459A0" w:rsidRPr="00B11AAF" w:rsidRDefault="00C459A0" w:rsidP="00C459A0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9.3.2</w:t>
            </w:r>
          </w:p>
        </w:tc>
        <w:tc>
          <w:tcPr>
            <w:tcW w:w="8818" w:type="dxa"/>
            <w:gridSpan w:val="3"/>
          </w:tcPr>
          <w:p w:rsidR="00C459A0" w:rsidRPr="00B11AAF" w:rsidRDefault="00C459A0" w:rsidP="00C459A0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56134E" w:rsidRPr="00B11AAF" w:rsidTr="00C52B70">
        <w:trPr>
          <w:jc w:val="center"/>
        </w:trPr>
        <w:tc>
          <w:tcPr>
            <w:tcW w:w="809" w:type="dxa"/>
            <w:vMerge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56134E" w:rsidRPr="00B11AAF" w:rsidRDefault="0056134E" w:rsidP="0056134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56134E" w:rsidRPr="00B11AAF" w:rsidTr="00C52B70">
        <w:trPr>
          <w:jc w:val="center"/>
        </w:trPr>
        <w:tc>
          <w:tcPr>
            <w:tcW w:w="809" w:type="dxa"/>
            <w:vMerge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56134E" w:rsidRPr="00B11AAF" w:rsidRDefault="0056134E" w:rsidP="0056134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56134E" w:rsidRPr="00B11AAF" w:rsidTr="00777052">
        <w:trPr>
          <w:jc w:val="center"/>
        </w:trPr>
        <w:tc>
          <w:tcPr>
            <w:tcW w:w="809" w:type="dxa"/>
            <w:vMerge w:val="restart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9.3.3</w:t>
            </w:r>
          </w:p>
        </w:tc>
        <w:tc>
          <w:tcPr>
            <w:tcW w:w="8818" w:type="dxa"/>
            <w:gridSpan w:val="3"/>
          </w:tcPr>
          <w:p w:rsidR="0056134E" w:rsidRPr="00B11AAF" w:rsidRDefault="0056134E" w:rsidP="0056134E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56134E" w:rsidRPr="00B11AAF" w:rsidTr="00664247">
        <w:trPr>
          <w:jc w:val="center"/>
        </w:trPr>
        <w:tc>
          <w:tcPr>
            <w:tcW w:w="809" w:type="dxa"/>
            <w:vMerge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56134E" w:rsidRPr="00B11AAF" w:rsidRDefault="0056134E" w:rsidP="0056134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56134E" w:rsidRPr="00B11AAF" w:rsidTr="00664247">
        <w:trPr>
          <w:jc w:val="center"/>
        </w:trPr>
        <w:tc>
          <w:tcPr>
            <w:tcW w:w="809" w:type="dxa"/>
            <w:vMerge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56134E" w:rsidRPr="00B11AAF" w:rsidRDefault="0056134E" w:rsidP="0056134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56134E" w:rsidRPr="00B11AAF" w:rsidTr="009F269C">
        <w:trPr>
          <w:jc w:val="center"/>
        </w:trPr>
        <w:tc>
          <w:tcPr>
            <w:tcW w:w="809" w:type="dxa"/>
            <w:vMerge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56134E" w:rsidRPr="00B11AAF" w:rsidRDefault="0056134E" w:rsidP="0056134E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56134E" w:rsidRPr="00B11AAF" w:rsidTr="00777052">
        <w:trPr>
          <w:jc w:val="center"/>
        </w:trPr>
        <w:tc>
          <w:tcPr>
            <w:tcW w:w="809" w:type="dxa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</w:t>
            </w:r>
          </w:p>
        </w:tc>
        <w:tc>
          <w:tcPr>
            <w:tcW w:w="8818" w:type="dxa"/>
            <w:gridSpan w:val="3"/>
          </w:tcPr>
          <w:p w:rsidR="0056134E" w:rsidRPr="00B11AAF" w:rsidRDefault="0056134E" w:rsidP="0056134E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</w:t>
            </w:r>
            <w:r w:rsidRPr="00B11AAF">
              <w:rPr>
                <w:rFonts w:ascii="Times New Roman" w:hAnsi="Times New Roman"/>
                <w:sz w:val="20"/>
              </w:rPr>
              <w:br/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655CC" w:rsidRPr="00B11AAF" w:rsidTr="00924E6B">
        <w:trPr>
          <w:jc w:val="center"/>
        </w:trPr>
        <w:tc>
          <w:tcPr>
            <w:tcW w:w="809" w:type="dxa"/>
          </w:tcPr>
          <w:p w:rsidR="00A655CC" w:rsidRPr="00B11AAF" w:rsidRDefault="00A655CC" w:rsidP="0056134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9.4.1</w:t>
            </w:r>
          </w:p>
        </w:tc>
        <w:tc>
          <w:tcPr>
            <w:tcW w:w="5150" w:type="dxa"/>
            <w:gridSpan w:val="2"/>
          </w:tcPr>
          <w:p w:rsidR="00A655CC" w:rsidRPr="00B11AAF" w:rsidRDefault="00A655CC" w:rsidP="0056134E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A655CC" w:rsidRPr="00B11AAF" w:rsidRDefault="00A655CC" w:rsidP="00561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56134E" w:rsidRPr="00B11AAF" w:rsidTr="00777052">
        <w:trPr>
          <w:jc w:val="center"/>
        </w:trPr>
        <w:tc>
          <w:tcPr>
            <w:tcW w:w="809" w:type="dxa"/>
            <w:vMerge w:val="restart"/>
          </w:tcPr>
          <w:p w:rsidR="0056134E" w:rsidRPr="00B11AAF" w:rsidRDefault="0056134E" w:rsidP="0056134E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9.4.2</w:t>
            </w:r>
          </w:p>
        </w:tc>
        <w:tc>
          <w:tcPr>
            <w:tcW w:w="8818" w:type="dxa"/>
            <w:gridSpan w:val="3"/>
          </w:tcPr>
          <w:p w:rsidR="0056134E" w:rsidRPr="00B11AAF" w:rsidRDefault="0056134E" w:rsidP="0056134E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655CC" w:rsidRPr="00B11AAF" w:rsidTr="00A468A3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A655CC" w:rsidRPr="00B11AAF" w:rsidTr="00A468A3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  <w:vMerge w:val="restart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9.4.3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655CC" w:rsidRPr="00B11AAF" w:rsidTr="007E2956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A655CC" w:rsidRPr="00B11AAF" w:rsidTr="007E2956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A655CC" w:rsidRPr="00B11AAF" w:rsidTr="00790018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lastRenderedPageBreak/>
              <w:t>9.5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ind w:firstLine="176"/>
              <w:jc w:val="both"/>
              <w:rPr>
                <w:sz w:val="20"/>
              </w:rPr>
            </w:pPr>
            <w:r w:rsidRPr="00B11AAF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A655CC" w:rsidRPr="00B11AAF" w:rsidTr="00883214">
        <w:trPr>
          <w:jc w:val="center"/>
        </w:trPr>
        <w:tc>
          <w:tcPr>
            <w:tcW w:w="809" w:type="dxa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9.5.1</w:t>
            </w:r>
          </w:p>
        </w:tc>
        <w:tc>
          <w:tcPr>
            <w:tcW w:w="5150" w:type="dxa"/>
            <w:gridSpan w:val="2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  <w:vMerge w:val="restart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9.5.2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655CC" w:rsidRPr="00B11AAF" w:rsidTr="00791820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</w:tr>
      <w:tr w:rsidR="00A655CC" w:rsidRPr="00B11AAF" w:rsidTr="00791820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  <w:vMerge w:val="restart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9.5.3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655CC" w:rsidRPr="00B11AAF" w:rsidTr="00CE6D23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 w:rsidR="00A655CC" w:rsidRPr="00B11AAF" w:rsidTr="00CE6D23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  <w:vAlign w:val="center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  <w:tr w:rsidR="00A655CC" w:rsidRPr="00B11AAF" w:rsidTr="00920059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655CC" w:rsidRPr="00B11AAF" w:rsidRDefault="00A655CC" w:rsidP="00A655CC">
            <w:pPr>
              <w:pStyle w:val="af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</w:t>
            </w:r>
            <w:r w:rsidRPr="00B11AAF">
              <w:rPr>
                <w:rFonts w:ascii="Times New Roman" w:hAnsi="Times New Roman"/>
                <w:sz w:val="20"/>
              </w:rPr>
              <w:br/>
              <w:t>и не используемую для осуществления коммерческой деятельности.</w:t>
            </w:r>
          </w:p>
        </w:tc>
      </w:tr>
      <w:tr w:rsidR="00A655CC" w:rsidRPr="00B11AAF" w:rsidTr="008D1C65">
        <w:trPr>
          <w:jc w:val="center"/>
        </w:trPr>
        <w:tc>
          <w:tcPr>
            <w:tcW w:w="809" w:type="dxa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9.6.1</w:t>
            </w:r>
          </w:p>
        </w:tc>
        <w:tc>
          <w:tcPr>
            <w:tcW w:w="5150" w:type="dxa"/>
            <w:gridSpan w:val="2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</w:t>
            </w:r>
          </w:p>
        </w:tc>
        <w:tc>
          <w:tcPr>
            <w:tcW w:w="3668" w:type="dxa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  <w:vMerge w:val="restart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9.6.2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655CC" w:rsidRPr="00B11AAF" w:rsidTr="00216C3F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</w:tr>
      <w:tr w:rsidR="00A655CC" w:rsidRPr="00B11AAF" w:rsidTr="00582DFF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</w:tr>
      <w:tr w:rsidR="00A655CC" w:rsidRPr="00B11AAF" w:rsidTr="00777052">
        <w:trPr>
          <w:jc w:val="center"/>
        </w:trPr>
        <w:tc>
          <w:tcPr>
            <w:tcW w:w="809" w:type="dxa"/>
            <w:vMerge w:val="restart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 w:rsidRPr="00B11AAF">
              <w:rPr>
                <w:sz w:val="20"/>
              </w:rPr>
              <w:t>9.6.3</w:t>
            </w:r>
          </w:p>
        </w:tc>
        <w:tc>
          <w:tcPr>
            <w:tcW w:w="8818" w:type="dxa"/>
            <w:gridSpan w:val="3"/>
          </w:tcPr>
          <w:p w:rsidR="00A655CC" w:rsidRPr="00B11AAF" w:rsidRDefault="00A655CC" w:rsidP="00A655CC">
            <w:pPr>
              <w:rPr>
                <w:sz w:val="20"/>
              </w:rPr>
            </w:pPr>
            <w:r w:rsidRPr="00B11AAF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655CC" w:rsidRPr="00B11AAF" w:rsidTr="00436A1B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Пиковая зона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7,84</w:t>
            </w:r>
          </w:p>
        </w:tc>
      </w:tr>
      <w:tr w:rsidR="00A655CC" w:rsidRPr="00B11AAF" w:rsidTr="00A979A5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Полупиковая зона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</w:tr>
      <w:tr w:rsidR="00A655CC" w:rsidRPr="00B11AAF" w:rsidTr="00AE27D5">
        <w:trPr>
          <w:jc w:val="center"/>
        </w:trPr>
        <w:tc>
          <w:tcPr>
            <w:tcW w:w="809" w:type="dxa"/>
            <w:vMerge/>
          </w:tcPr>
          <w:p w:rsidR="00A655CC" w:rsidRPr="00B11AAF" w:rsidRDefault="00A655CC" w:rsidP="00A655CC">
            <w:pPr>
              <w:rPr>
                <w:sz w:val="20"/>
              </w:rPr>
            </w:pPr>
          </w:p>
        </w:tc>
        <w:tc>
          <w:tcPr>
            <w:tcW w:w="5119" w:type="dxa"/>
          </w:tcPr>
          <w:p w:rsidR="00A655CC" w:rsidRPr="00B11AAF" w:rsidRDefault="00A655CC" w:rsidP="00A655CC">
            <w:pPr>
              <w:ind w:firstLine="286"/>
              <w:jc w:val="both"/>
              <w:rPr>
                <w:sz w:val="20"/>
              </w:rPr>
            </w:pPr>
            <w:r w:rsidRPr="00B11AAF">
              <w:rPr>
                <w:sz w:val="20"/>
              </w:rPr>
              <w:t>Ночная зона</w:t>
            </w:r>
          </w:p>
        </w:tc>
        <w:tc>
          <w:tcPr>
            <w:tcW w:w="3699" w:type="dxa"/>
            <w:gridSpan w:val="2"/>
          </w:tcPr>
          <w:p w:rsidR="00A655CC" w:rsidRPr="00B11AAF" w:rsidRDefault="00A655CC" w:rsidP="00A6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</w:tr>
    </w:tbl>
    <w:p w:rsidR="00777052" w:rsidRPr="001B7134" w:rsidRDefault="00777052" w:rsidP="00777052">
      <w:pPr>
        <w:autoSpaceDE w:val="0"/>
        <w:autoSpaceDN w:val="0"/>
        <w:adjustRightInd w:val="0"/>
        <w:ind w:right="-143" w:firstLine="567"/>
        <w:jc w:val="both"/>
        <w:rPr>
          <w:sz w:val="18"/>
          <w:szCs w:val="18"/>
        </w:rPr>
      </w:pPr>
      <w:r w:rsidRPr="001B7134">
        <w:rPr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777052" w:rsidRPr="001B7134" w:rsidRDefault="00777052" w:rsidP="00777052">
      <w:pPr>
        <w:ind w:right="-143" w:firstLine="567"/>
        <w:jc w:val="both"/>
        <w:rPr>
          <w:sz w:val="16"/>
          <w:szCs w:val="16"/>
        </w:rPr>
      </w:pPr>
      <w:r w:rsidRPr="001B7134">
        <w:rPr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1B7134">
        <w:rPr>
          <w:sz w:val="16"/>
          <w:szCs w:val="16"/>
        </w:rPr>
        <w:t>.</w:t>
      </w:r>
    </w:p>
    <w:p w:rsidR="0097303A" w:rsidRDefault="0097303A" w:rsidP="001246B5">
      <w:pPr>
        <w:keepNext/>
        <w:spacing w:before="120" w:after="120"/>
        <w:jc w:val="center"/>
        <w:outlineLvl w:val="0"/>
        <w:rPr>
          <w:rFonts w:eastAsia="Calibri"/>
          <w:bCs/>
          <w:sz w:val="28"/>
          <w:szCs w:val="28"/>
        </w:rPr>
      </w:pPr>
    </w:p>
    <w:p w:rsidR="0097303A" w:rsidRDefault="0097303A" w:rsidP="001246B5">
      <w:pPr>
        <w:keepNext/>
        <w:spacing w:before="120" w:after="120"/>
        <w:jc w:val="center"/>
        <w:outlineLvl w:val="0"/>
        <w:rPr>
          <w:rFonts w:eastAsia="Calibri"/>
          <w:bCs/>
          <w:sz w:val="28"/>
          <w:szCs w:val="28"/>
        </w:rPr>
      </w:pPr>
    </w:p>
    <w:p w:rsidR="0097303A" w:rsidRDefault="0097303A" w:rsidP="001246B5">
      <w:pPr>
        <w:keepNext/>
        <w:spacing w:before="120" w:after="120"/>
        <w:jc w:val="center"/>
        <w:outlineLvl w:val="0"/>
        <w:rPr>
          <w:rFonts w:eastAsia="Calibri"/>
          <w:bCs/>
          <w:sz w:val="28"/>
          <w:szCs w:val="28"/>
        </w:rPr>
      </w:pPr>
    </w:p>
    <w:p w:rsidR="0097303A" w:rsidRDefault="0097303A" w:rsidP="001246B5">
      <w:pPr>
        <w:keepNext/>
        <w:spacing w:before="120" w:after="120"/>
        <w:jc w:val="center"/>
        <w:outlineLvl w:val="0"/>
        <w:rPr>
          <w:rFonts w:eastAsia="Calibri"/>
          <w:bCs/>
          <w:sz w:val="28"/>
          <w:szCs w:val="28"/>
        </w:rPr>
      </w:pPr>
    </w:p>
    <w:p w:rsidR="00C91A49" w:rsidRDefault="00C91A49" w:rsidP="00C91A49">
      <w:pPr>
        <w:widowControl w:val="0"/>
        <w:ind w:left="4819"/>
        <w:jc w:val="right"/>
        <w:rPr>
          <w:sz w:val="28"/>
        </w:rPr>
      </w:pPr>
    </w:p>
    <w:sectPr w:rsidR="00C91A49" w:rsidSect="00764220"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3A" w:rsidRDefault="0097303A" w:rsidP="007F63E4">
      <w:r>
        <w:separator/>
      </w:r>
    </w:p>
  </w:endnote>
  <w:endnote w:type="continuationSeparator" w:id="0">
    <w:p w:rsidR="0097303A" w:rsidRDefault="0097303A" w:rsidP="007F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3A" w:rsidRDefault="0097303A" w:rsidP="007F63E4">
      <w:r>
        <w:separator/>
      </w:r>
    </w:p>
  </w:footnote>
  <w:footnote w:type="continuationSeparator" w:id="0">
    <w:p w:rsidR="0097303A" w:rsidRDefault="0097303A" w:rsidP="007F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3F13"/>
    <w:rsid w:val="000048C0"/>
    <w:rsid w:val="000131E7"/>
    <w:rsid w:val="00026940"/>
    <w:rsid w:val="00042191"/>
    <w:rsid w:val="00051A85"/>
    <w:rsid w:val="000617DC"/>
    <w:rsid w:val="000657AE"/>
    <w:rsid w:val="00066B3B"/>
    <w:rsid w:val="00083830"/>
    <w:rsid w:val="0008549C"/>
    <w:rsid w:val="000B1474"/>
    <w:rsid w:val="000F25D1"/>
    <w:rsid w:val="00104DD0"/>
    <w:rsid w:val="00105830"/>
    <w:rsid w:val="00116BE5"/>
    <w:rsid w:val="001246B5"/>
    <w:rsid w:val="001337C1"/>
    <w:rsid w:val="00133B06"/>
    <w:rsid w:val="00134CD3"/>
    <w:rsid w:val="00137E16"/>
    <w:rsid w:val="00141E14"/>
    <w:rsid w:val="0018369C"/>
    <w:rsid w:val="0018673D"/>
    <w:rsid w:val="001A076C"/>
    <w:rsid w:val="001A429B"/>
    <w:rsid w:val="001D6E0A"/>
    <w:rsid w:val="001D7FA7"/>
    <w:rsid w:val="001E3847"/>
    <w:rsid w:val="001E7386"/>
    <w:rsid w:val="001F0DCC"/>
    <w:rsid w:val="002247F7"/>
    <w:rsid w:val="002250DA"/>
    <w:rsid w:val="002557AF"/>
    <w:rsid w:val="002653CB"/>
    <w:rsid w:val="002677BF"/>
    <w:rsid w:val="00274A53"/>
    <w:rsid w:val="00277CE1"/>
    <w:rsid w:val="002904A8"/>
    <w:rsid w:val="0029435A"/>
    <w:rsid w:val="0029583A"/>
    <w:rsid w:val="00296AEC"/>
    <w:rsid w:val="002C2AEB"/>
    <w:rsid w:val="002C4091"/>
    <w:rsid w:val="002C609A"/>
    <w:rsid w:val="00302040"/>
    <w:rsid w:val="00334B95"/>
    <w:rsid w:val="003723FA"/>
    <w:rsid w:val="0038794C"/>
    <w:rsid w:val="00387D98"/>
    <w:rsid w:val="003A5AF4"/>
    <w:rsid w:val="003B1DF1"/>
    <w:rsid w:val="003D3E3E"/>
    <w:rsid w:val="003D4DF5"/>
    <w:rsid w:val="003F524A"/>
    <w:rsid w:val="003F6E44"/>
    <w:rsid w:val="00410BB3"/>
    <w:rsid w:val="004173EC"/>
    <w:rsid w:val="00421E84"/>
    <w:rsid w:val="00423D46"/>
    <w:rsid w:val="00426381"/>
    <w:rsid w:val="00446E04"/>
    <w:rsid w:val="00452811"/>
    <w:rsid w:val="004749BE"/>
    <w:rsid w:val="00483697"/>
    <w:rsid w:val="004930CE"/>
    <w:rsid w:val="0049372B"/>
    <w:rsid w:val="004B360F"/>
    <w:rsid w:val="004B5A2D"/>
    <w:rsid w:val="004B7617"/>
    <w:rsid w:val="004C2081"/>
    <w:rsid w:val="004C5E7E"/>
    <w:rsid w:val="004C731B"/>
    <w:rsid w:val="004D7E4D"/>
    <w:rsid w:val="004F1113"/>
    <w:rsid w:val="004F1A91"/>
    <w:rsid w:val="004F3451"/>
    <w:rsid w:val="00504B7D"/>
    <w:rsid w:val="005140DA"/>
    <w:rsid w:val="00515AF2"/>
    <w:rsid w:val="00524F33"/>
    <w:rsid w:val="00545ADD"/>
    <w:rsid w:val="0056134E"/>
    <w:rsid w:val="0056431F"/>
    <w:rsid w:val="00580CB9"/>
    <w:rsid w:val="00585C2B"/>
    <w:rsid w:val="00597956"/>
    <w:rsid w:val="005A3724"/>
    <w:rsid w:val="005C3AC4"/>
    <w:rsid w:val="005D1A7F"/>
    <w:rsid w:val="005D31A1"/>
    <w:rsid w:val="005E0799"/>
    <w:rsid w:val="005E603C"/>
    <w:rsid w:val="00616FFD"/>
    <w:rsid w:val="0062645D"/>
    <w:rsid w:val="00633CC2"/>
    <w:rsid w:val="006363C0"/>
    <w:rsid w:val="00644160"/>
    <w:rsid w:val="00647571"/>
    <w:rsid w:val="00652CF6"/>
    <w:rsid w:val="00680D75"/>
    <w:rsid w:val="00687617"/>
    <w:rsid w:val="006C17A9"/>
    <w:rsid w:val="006F3355"/>
    <w:rsid w:val="006F36F2"/>
    <w:rsid w:val="007352B8"/>
    <w:rsid w:val="00752576"/>
    <w:rsid w:val="007606FF"/>
    <w:rsid w:val="00760B9D"/>
    <w:rsid w:val="00764220"/>
    <w:rsid w:val="00766B04"/>
    <w:rsid w:val="00777052"/>
    <w:rsid w:val="00781A1D"/>
    <w:rsid w:val="007A05FA"/>
    <w:rsid w:val="007A0E4A"/>
    <w:rsid w:val="007A2E0B"/>
    <w:rsid w:val="007B63B6"/>
    <w:rsid w:val="007E051D"/>
    <w:rsid w:val="007E6675"/>
    <w:rsid w:val="007F63E4"/>
    <w:rsid w:val="0080548C"/>
    <w:rsid w:val="00822E03"/>
    <w:rsid w:val="00824123"/>
    <w:rsid w:val="00842F87"/>
    <w:rsid w:val="00854D3B"/>
    <w:rsid w:val="00855DDA"/>
    <w:rsid w:val="00890619"/>
    <w:rsid w:val="008B22BD"/>
    <w:rsid w:val="008C145A"/>
    <w:rsid w:val="008C3FA6"/>
    <w:rsid w:val="009015CE"/>
    <w:rsid w:val="00902EB7"/>
    <w:rsid w:val="00930DDF"/>
    <w:rsid w:val="009313FE"/>
    <w:rsid w:val="009332C0"/>
    <w:rsid w:val="00937277"/>
    <w:rsid w:val="00951F6D"/>
    <w:rsid w:val="009549C5"/>
    <w:rsid w:val="00960617"/>
    <w:rsid w:val="0097303A"/>
    <w:rsid w:val="00975F6A"/>
    <w:rsid w:val="00987BE9"/>
    <w:rsid w:val="009939F4"/>
    <w:rsid w:val="009A19EC"/>
    <w:rsid w:val="009A27B5"/>
    <w:rsid w:val="009B26D8"/>
    <w:rsid w:val="009B3EC6"/>
    <w:rsid w:val="009B45B2"/>
    <w:rsid w:val="009C4FCD"/>
    <w:rsid w:val="009D1D41"/>
    <w:rsid w:val="009D5DA1"/>
    <w:rsid w:val="009D72D4"/>
    <w:rsid w:val="009E511C"/>
    <w:rsid w:val="009F58A9"/>
    <w:rsid w:val="00A1397B"/>
    <w:rsid w:val="00A14341"/>
    <w:rsid w:val="00A22C4B"/>
    <w:rsid w:val="00A27F74"/>
    <w:rsid w:val="00A63B9B"/>
    <w:rsid w:val="00A655CC"/>
    <w:rsid w:val="00AD0050"/>
    <w:rsid w:val="00AD40DC"/>
    <w:rsid w:val="00AD45B9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3FE5"/>
    <w:rsid w:val="00BB5E0C"/>
    <w:rsid w:val="00BC12F8"/>
    <w:rsid w:val="00BC3351"/>
    <w:rsid w:val="00BC550E"/>
    <w:rsid w:val="00BD03A8"/>
    <w:rsid w:val="00BD61AA"/>
    <w:rsid w:val="00BE0AE5"/>
    <w:rsid w:val="00BF147E"/>
    <w:rsid w:val="00BF284A"/>
    <w:rsid w:val="00BF6B79"/>
    <w:rsid w:val="00C11907"/>
    <w:rsid w:val="00C43565"/>
    <w:rsid w:val="00C459A0"/>
    <w:rsid w:val="00C60FD1"/>
    <w:rsid w:val="00C712E7"/>
    <w:rsid w:val="00C71942"/>
    <w:rsid w:val="00C7551A"/>
    <w:rsid w:val="00C85C39"/>
    <w:rsid w:val="00C876E1"/>
    <w:rsid w:val="00C91A49"/>
    <w:rsid w:val="00CA661E"/>
    <w:rsid w:val="00CB6A27"/>
    <w:rsid w:val="00CC172F"/>
    <w:rsid w:val="00CD5B66"/>
    <w:rsid w:val="00CF142B"/>
    <w:rsid w:val="00D00619"/>
    <w:rsid w:val="00D03E51"/>
    <w:rsid w:val="00D12E97"/>
    <w:rsid w:val="00D13243"/>
    <w:rsid w:val="00D233B2"/>
    <w:rsid w:val="00D508BE"/>
    <w:rsid w:val="00D55B66"/>
    <w:rsid w:val="00D57D83"/>
    <w:rsid w:val="00D64FB9"/>
    <w:rsid w:val="00D738D0"/>
    <w:rsid w:val="00DA0566"/>
    <w:rsid w:val="00DB4250"/>
    <w:rsid w:val="00DC2E35"/>
    <w:rsid w:val="00DD401B"/>
    <w:rsid w:val="00DF11D0"/>
    <w:rsid w:val="00E2597C"/>
    <w:rsid w:val="00E31D53"/>
    <w:rsid w:val="00E34079"/>
    <w:rsid w:val="00E50091"/>
    <w:rsid w:val="00E71E50"/>
    <w:rsid w:val="00E7276E"/>
    <w:rsid w:val="00E812AF"/>
    <w:rsid w:val="00E9542D"/>
    <w:rsid w:val="00E96E52"/>
    <w:rsid w:val="00EA1BEB"/>
    <w:rsid w:val="00EB09A3"/>
    <w:rsid w:val="00ED1A9F"/>
    <w:rsid w:val="00EE1454"/>
    <w:rsid w:val="00EF4959"/>
    <w:rsid w:val="00EF6887"/>
    <w:rsid w:val="00F01273"/>
    <w:rsid w:val="00F213D9"/>
    <w:rsid w:val="00F330CD"/>
    <w:rsid w:val="00F53B81"/>
    <w:rsid w:val="00F903D9"/>
    <w:rsid w:val="00F91D2D"/>
    <w:rsid w:val="00F963EA"/>
    <w:rsid w:val="00FA1953"/>
    <w:rsid w:val="00FA2B0E"/>
    <w:rsid w:val="00FB29FB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CED1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3">
    <w:name w:val="Body Text"/>
    <w:basedOn w:val="a"/>
    <w:link w:val="af4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4">
    <w:name w:val="Основной текст Знак"/>
    <w:basedOn w:val="a0"/>
    <w:link w:val="af3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5">
    <w:name w:val="Body Text Indent"/>
    <w:basedOn w:val="a"/>
    <w:link w:val="af6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8">
    <w:name w:val="Гипертекстовая ссылка"/>
    <w:uiPriority w:val="99"/>
    <w:rsid w:val="00410BB3"/>
    <w:rPr>
      <w:b/>
      <w:bCs/>
      <w:color w:val="008000"/>
    </w:rPr>
  </w:style>
  <w:style w:type="character" w:styleId="af9">
    <w:name w:val="annotation reference"/>
    <w:rsid w:val="00410BB3"/>
    <w:rPr>
      <w:sz w:val="16"/>
      <w:szCs w:val="16"/>
    </w:rPr>
  </w:style>
  <w:style w:type="paragraph" w:styleId="afa">
    <w:name w:val="annotation text"/>
    <w:basedOn w:val="a"/>
    <w:link w:val="afb"/>
    <w:rsid w:val="00410BB3"/>
    <w:rPr>
      <w:rFonts w:eastAsia="Calibri"/>
      <w:sz w:val="20"/>
    </w:rPr>
  </w:style>
  <w:style w:type="character" w:customStyle="1" w:styleId="afb">
    <w:name w:val="Текст примечания Знак"/>
    <w:basedOn w:val="a0"/>
    <w:link w:val="afa"/>
    <w:rsid w:val="00410BB3"/>
    <w:rPr>
      <w:rFonts w:ascii="Times New Roman" w:eastAsia="Calibri" w:hAnsi="Times New Roman"/>
      <w:color w:val="auto"/>
      <w:sz w:val="20"/>
    </w:rPr>
  </w:style>
  <w:style w:type="paragraph" w:styleId="afc">
    <w:name w:val="annotation subject"/>
    <w:basedOn w:val="afa"/>
    <w:next w:val="afa"/>
    <w:link w:val="afd"/>
    <w:rsid w:val="00410BB3"/>
    <w:rPr>
      <w:b/>
      <w:bCs/>
    </w:rPr>
  </w:style>
  <w:style w:type="character" w:customStyle="1" w:styleId="afd">
    <w:name w:val="Тема примечания Знак"/>
    <w:basedOn w:val="afb"/>
    <w:link w:val="afc"/>
    <w:rsid w:val="00410BB3"/>
    <w:rPr>
      <w:rFonts w:ascii="Times New Roman" w:eastAsia="Calibri" w:hAnsi="Times New Roman"/>
      <w:b/>
      <w:bCs/>
      <w:color w:val="auto"/>
      <w:sz w:val="20"/>
    </w:rPr>
  </w:style>
  <w:style w:type="table" w:customStyle="1" w:styleId="43">
    <w:name w:val="Сетка таблицы4"/>
    <w:basedOn w:val="a1"/>
    <w:next w:val="af0"/>
    <w:rsid w:val="00BD61AA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">
    <w:name w:val="Endnote"/>
    <w:rsid w:val="00C91A49"/>
    <w:pPr>
      <w:ind w:firstLine="851"/>
      <w:jc w:val="both"/>
    </w:pPr>
    <w:rPr>
      <w:rFonts w:ascii="XO Thames" w:hAnsi="XO Thames"/>
    </w:rPr>
  </w:style>
  <w:style w:type="character" w:customStyle="1" w:styleId="af2">
    <w:name w:val="Абзац списка Знак"/>
    <w:basedOn w:val="13"/>
    <w:link w:val="af1"/>
    <w:uiPriority w:val="34"/>
    <w:rsid w:val="00C91A49"/>
    <w:rPr>
      <w:rFonts w:ascii="Times New Roman" w:hAnsi="Times New Roman"/>
      <w:color w:val="auto"/>
      <w:sz w:val="24"/>
      <w:szCs w:val="24"/>
    </w:rPr>
  </w:style>
  <w:style w:type="paragraph" w:customStyle="1" w:styleId="25">
    <w:name w:val="Основной шрифт абзаца2"/>
    <w:rsid w:val="00C91A49"/>
  </w:style>
  <w:style w:type="paragraph" w:customStyle="1" w:styleId="ConsPlusCell">
    <w:name w:val="ConsPlusCell"/>
    <w:rsid w:val="00C91A49"/>
    <w:pPr>
      <w:widowControl w:val="0"/>
      <w:spacing w:after="0" w:line="240" w:lineRule="auto"/>
    </w:pPr>
    <w:rPr>
      <w:rFonts w:ascii="Calibri" w:hAnsi="Calibri" w:cs="Calibri"/>
      <w:color w:val="auto"/>
      <w:szCs w:val="22"/>
    </w:rPr>
  </w:style>
  <w:style w:type="table" w:customStyle="1" w:styleId="111">
    <w:name w:val="Сетка таблицы11"/>
    <w:basedOn w:val="a1"/>
    <w:next w:val="af0"/>
    <w:uiPriority w:val="39"/>
    <w:rsid w:val="00C91A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0"/>
    <w:uiPriority w:val="39"/>
    <w:rsid w:val="00C91A49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Комментарий"/>
    <w:basedOn w:val="a"/>
    <w:next w:val="a"/>
    <w:rsid w:val="00C91A4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">
    <w:name w:val="endnote text"/>
    <w:basedOn w:val="a"/>
    <w:link w:val="aff0"/>
    <w:uiPriority w:val="99"/>
    <w:rsid w:val="00C91A4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C91A49"/>
    <w:rPr>
      <w:rFonts w:ascii="Times New Roman" w:hAnsi="Times New Roman"/>
      <w:color w:val="auto"/>
      <w:sz w:val="20"/>
    </w:rPr>
  </w:style>
  <w:style w:type="character" w:styleId="aff1">
    <w:name w:val="endnote reference"/>
    <w:uiPriority w:val="99"/>
    <w:rsid w:val="00C91A49"/>
    <w:rPr>
      <w:vertAlign w:val="superscript"/>
    </w:rPr>
  </w:style>
  <w:style w:type="paragraph" w:customStyle="1" w:styleId="ConsPlusNonformat">
    <w:name w:val="ConsPlusNonformat"/>
    <w:rsid w:val="00C91A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f2">
    <w:name w:val="No Spacing"/>
    <w:link w:val="aff3"/>
    <w:uiPriority w:val="1"/>
    <w:qFormat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Style6">
    <w:name w:val="Style6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C91A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C91A4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91A4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91A4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C91A4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C91A4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91A4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C91A4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C91A4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C91A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C91A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C91A4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C91A49"/>
    <w:rPr>
      <w:rFonts w:ascii="Times New Roman" w:hAnsi="Times New Roman" w:cs="Times New Roman"/>
      <w:b/>
      <w:bCs/>
      <w:sz w:val="14"/>
      <w:szCs w:val="14"/>
    </w:rPr>
  </w:style>
  <w:style w:type="paragraph" w:styleId="26">
    <w:name w:val="Body Text 2"/>
    <w:basedOn w:val="a"/>
    <w:link w:val="27"/>
    <w:rsid w:val="00C91A49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rsid w:val="00C91A49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f4">
    <w:name w:val="Таблицы (моноширинный)"/>
    <w:basedOn w:val="a"/>
    <w:next w:val="a"/>
    <w:rsid w:val="00C91A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5">
    <w:name w:val="Emphasis"/>
    <w:qFormat/>
    <w:rsid w:val="00C91A49"/>
    <w:rPr>
      <w:i/>
      <w:iCs/>
    </w:rPr>
  </w:style>
  <w:style w:type="character" w:customStyle="1" w:styleId="aff6">
    <w:name w:val="Цветовое выделение"/>
    <w:uiPriority w:val="99"/>
    <w:rsid w:val="00C91A49"/>
    <w:rPr>
      <w:b/>
      <w:color w:val="000080"/>
    </w:rPr>
  </w:style>
  <w:style w:type="paragraph" w:customStyle="1" w:styleId="aff7">
    <w:name w:val="Нормальный (таблица)"/>
    <w:basedOn w:val="a"/>
    <w:next w:val="a"/>
    <w:uiPriority w:val="99"/>
    <w:rsid w:val="00C91A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8">
    <w:name w:val="footnote text"/>
    <w:basedOn w:val="a"/>
    <w:link w:val="aff9"/>
    <w:uiPriority w:val="99"/>
    <w:unhideWhenUsed/>
    <w:rsid w:val="00C91A49"/>
    <w:rPr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uiPriority w:val="99"/>
    <w:rsid w:val="00C91A49"/>
    <w:rPr>
      <w:rFonts w:ascii="Times New Roman" w:hAnsi="Times New Roman"/>
      <w:color w:val="auto"/>
      <w:sz w:val="20"/>
      <w:lang w:val="x-none" w:eastAsia="x-none"/>
    </w:rPr>
  </w:style>
  <w:style w:type="character" w:styleId="affa">
    <w:name w:val="footnote reference"/>
    <w:uiPriority w:val="99"/>
    <w:unhideWhenUsed/>
    <w:rsid w:val="00C91A49"/>
    <w:rPr>
      <w:vertAlign w:val="superscript"/>
    </w:rPr>
  </w:style>
  <w:style w:type="character" w:customStyle="1" w:styleId="1f">
    <w:name w:val="Основной текст с отступом Знак1"/>
    <w:uiPriority w:val="99"/>
    <w:semiHidden/>
    <w:rsid w:val="00C91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91A49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12">
    <w:name w:val="Нет списка11"/>
    <w:next w:val="a2"/>
    <w:uiPriority w:val="99"/>
    <w:semiHidden/>
    <w:unhideWhenUsed/>
    <w:rsid w:val="00C91A49"/>
  </w:style>
  <w:style w:type="paragraph" w:styleId="affb">
    <w:name w:val="Normal (Web)"/>
    <w:basedOn w:val="a"/>
    <w:uiPriority w:val="99"/>
    <w:unhideWhenUsed/>
    <w:rsid w:val="00C91A49"/>
    <w:pPr>
      <w:spacing w:before="100" w:beforeAutospacing="1" w:after="119"/>
    </w:pPr>
  </w:style>
  <w:style w:type="character" w:styleId="affc">
    <w:name w:val="Placeholder Text"/>
    <w:basedOn w:val="a0"/>
    <w:uiPriority w:val="99"/>
    <w:semiHidden/>
    <w:rsid w:val="00C91A49"/>
    <w:rPr>
      <w:color w:val="808080"/>
    </w:rPr>
  </w:style>
  <w:style w:type="table" w:customStyle="1" w:styleId="310">
    <w:name w:val="Сетка таблицы3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uiPriority w:val="59"/>
    <w:rsid w:val="00C91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Без интервала Знак"/>
    <w:link w:val="aff2"/>
    <w:rsid w:val="00C91A49"/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1F4E-170D-4AD8-9A91-3E6044B6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Цымбал Галина Александровна</cp:lastModifiedBy>
  <cp:revision>68</cp:revision>
  <cp:lastPrinted>2024-10-02T01:29:00Z</cp:lastPrinted>
  <dcterms:created xsi:type="dcterms:W3CDTF">2024-03-27T21:46:00Z</dcterms:created>
  <dcterms:modified xsi:type="dcterms:W3CDTF">2024-10-28T03:53:00Z</dcterms:modified>
</cp:coreProperties>
</file>